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5581650</wp:posOffset>
            </wp:positionH>
            <wp:positionV relativeFrom="paragraph">
              <wp:posOffset>-295910</wp:posOffset>
            </wp:positionV>
            <wp:extent cx="685800" cy="640080"/>
            <wp:effectExtent l="0" t="0" r="0" b="7620"/>
            <wp:wrapNone/>
            <wp:docPr id="2" name="Picture 2" descr="UFI-认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FI-认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</w:rPr>
        <w:t>INVITATION</w:t>
      </w:r>
    </w:p>
    <w:p>
      <w:pPr>
        <w:spacing w:line="300" w:lineRule="auto"/>
        <w:rPr>
          <w:rFonts w:hint="default" w:ascii="Times New Roman" w:hAnsi="Times New Roman" w:cs="Times New Roman"/>
          <w:sz w:val="30"/>
        </w:rPr>
      </w:pPr>
      <w:r>
        <w:rPr>
          <w:rFonts w:hint="default" w:ascii="Times New Roman" w:hAnsi="Times New Roman" w:cs="Times New Roman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40005</wp:posOffset>
                </wp:positionV>
                <wp:extent cx="6076950" cy="600075"/>
                <wp:effectExtent l="6350" t="6350" r="31750" b="41275"/>
                <wp:wrapNone/>
                <wp:docPr id="3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000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  <a:tileRect/>
                        </a:gradFill>
                        <a:ln w="12700" cap="flat" cmpd="sng">
                          <a:solidFill>
                            <a:srgbClr val="92CDDC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8398" dir="3806096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spacing w:line="360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rFonts w:hint="eastAsia" w:ascii="Arial" w:hAnsi="Arial" w:cs="Arial"/>
                                <w:b/>
                                <w:bCs/>
                                <w:sz w:val="24"/>
                                <w:lang w:val="en-US" w:eastAsia="zh-CN"/>
                              </w:rPr>
                              <w:t>:</w:t>
                            </w:r>
                            <w:r>
                              <w:rPr>
                                <w:rFonts w:hint="eastAsia" w:ascii="Arial" w:hAnsi="宋体" w:cs="Arial"/>
                                <w:b/>
                                <w:b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98" type="#_x0000_t98" style="position:absolute;left:0pt;margin-left:8.25pt;margin-top:3.15pt;height:47.25pt;width:478.5pt;z-index:251661312;mso-width-relative:page;mso-height-relative:page;" fillcolor="#FFFFFF" filled="t" stroked="t" coordsize="21600,21600" o:gfxdata="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" adj="2700">
                <v:fill type="gradient" on="t" color2="#B6DDE8" focus="100%" focussize="0,0"/>
                <v:stroke weight="1pt" color="#92CDDC" joinstyle="round"/>
                <v:imagedata o:title=""/>
                <o:lock v:ext="edit" aspectratio="f"/>
                <v:shadow on="t" color="#205867" opacity="32768f" offset="1pt,2pt" origin="0f,0f" matrix="65536f,0f,0f,65536f"/>
                <v:textbox>
                  <w:txbxContent>
                    <w:p>
                      <w:pPr>
                        <w:spacing w:line="360" w:lineRule="auto"/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To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</w:rPr>
                        <w:t>From</w:t>
                      </w:r>
                      <w:r>
                        <w:rPr>
                          <w:rFonts w:hint="eastAsia" w:ascii="Arial" w:hAnsi="Arial" w:cs="Arial"/>
                          <w:b/>
                          <w:bCs/>
                          <w:sz w:val="24"/>
                          <w:lang w:val="en-US" w:eastAsia="zh-CN"/>
                        </w:rPr>
                        <w:t>:</w:t>
                      </w:r>
                      <w:r>
                        <w:rPr>
                          <w:rFonts w:hint="eastAsia" w:ascii="Arial" w:hAnsi="宋体" w:cs="Arial"/>
                          <w:b/>
                          <w:b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atLeast"/>
        <w:rPr>
          <w:rFonts w:hint="default" w:ascii="Times New Roman" w:hAnsi="Times New Roman" w:cs="Times New Roman"/>
          <w:sz w:val="28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6176010" cy="1348740"/>
            <wp:effectExtent l="0" t="0" r="0" b="0"/>
            <wp:docPr id="6" name="图片 6" descr="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7601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00" w:lineRule="exact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cs="Times New Roman"/>
          <w:b/>
          <w:sz w:val="36"/>
          <w:szCs w:val="28"/>
        </w:rPr>
      </w:pPr>
      <w:r>
        <w:rPr>
          <w:rFonts w:hint="default" w:ascii="Times New Roman" w:hAnsi="Times New Roman" w:cs="Times New Roman"/>
          <w:b/>
          <w:sz w:val="40"/>
          <w:szCs w:val="32"/>
        </w:rPr>
        <w:t>2022 China (Chengdu) International Petroleum &amp; Petrochemical Technology and Equipment Exhibition</w:t>
      </w:r>
    </w:p>
    <w:p>
      <w:pPr>
        <w:spacing w:line="320" w:lineRule="exact"/>
        <w:jc w:val="center"/>
        <w:rPr>
          <w:rFonts w:hint="default" w:ascii="Times New Roman" w:hAnsi="Times New Roman" w:cs="Times New Roman"/>
          <w:b/>
          <w:bCs/>
          <w:sz w:val="28"/>
          <w:szCs w:val="36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81280</wp:posOffset>
                </wp:positionV>
                <wp:extent cx="6057900" cy="0"/>
                <wp:effectExtent l="0" t="0" r="0" b="0"/>
                <wp:wrapNone/>
                <wp:docPr id="5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o:spid="_x0000_s1026" o:spt="20" style="position:absolute;left:0pt;margin-left:6.3pt;margin-top:6.4pt;height:0pt;width:477pt;z-index:251662336;mso-width-relative:page;mso-height-relative:page;" filled="f" stroked="t" coordsize="21600,21600" o:gfxdata="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dvgATSAAAACAEAAA8AAAAAAAAAAQAgAAAAIgAAAGRy&#10;cy9kb3ducmV2LnhtbFBLAQIUABQAAAAIAIdO4kCf/ap60gEAAM0DAAAOAAAAAAAAAAEAIAAAACE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</w:pPr>
      <w:bookmarkStart w:id="0" w:name="OLE_LINK1"/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Oct.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 xml:space="preserve"> 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9</w:t>
      </w: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-</w:t>
      </w:r>
      <w:r>
        <w:rPr>
          <w:rFonts w:hint="eastAsia" w:cs="Times New Roman"/>
          <w:b/>
          <w:bCs/>
          <w:snapToGrid w:val="0"/>
          <w:kern w:val="0"/>
          <w:sz w:val="28"/>
          <w:szCs w:val="24"/>
          <w:lang w:val="en-US" w:eastAsia="zh-CN"/>
        </w:rPr>
        <w:t>11</w:t>
      </w:r>
      <w:bookmarkEnd w:id="0"/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4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napToGrid w:val="0"/>
          <w:kern w:val="0"/>
          <w:sz w:val="28"/>
          <w:szCs w:val="28"/>
        </w:rPr>
        <w:t>Chengdu Century City New International Convention and Exhibition Center</w:t>
      </w:r>
    </w:p>
    <w:p>
      <w:pPr>
        <w:pStyle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Organizers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Zhenwei International Exhibition Group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Beijing Zhenwei Exhibition Co.,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Ltd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</w:rPr>
        <w:t>Supporters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China Petroleum and Chemical Industry Federation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China Petroleum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&amp;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Petrochemical Equipment Industry Association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00" w:lineRule="exact"/>
        <w:jc w:val="center"/>
        <w:textAlignment w:val="auto"/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Explosion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Proof 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Apparatus Branch of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 xml:space="preserve">China 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>Electric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  <w:lang w:val="en-US" w:eastAsia="zh-CN"/>
        </w:rPr>
        <w:t>al</w:t>
      </w:r>
      <w:r>
        <w:rPr>
          <w:rFonts w:hint="default" w:ascii="Times New Roman" w:hAnsi="Times New Roman" w:cs="Times New Roman"/>
          <w:b w:val="0"/>
          <w:bCs w:val="0"/>
          <w:i w:val="0"/>
          <w:iCs/>
          <w:sz w:val="24"/>
          <w:szCs w:val="24"/>
        </w:rPr>
        <w:t xml:space="preserve"> Equipment Industry Association</w:t>
      </w:r>
    </w:p>
    <w:p>
      <w:pPr>
        <w:pStyle w:val="2"/>
        <w:rPr>
          <w:rFonts w:hint="default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2489200</wp:posOffset>
            </wp:positionH>
            <wp:positionV relativeFrom="paragraph">
              <wp:posOffset>351790</wp:posOffset>
            </wp:positionV>
            <wp:extent cx="1199515" cy="842645"/>
            <wp:effectExtent l="0" t="0" r="4445" b="10795"/>
            <wp:wrapNone/>
            <wp:docPr id="9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spacing w:line="420" w:lineRule="exact"/>
        <w:ind w:right="372" w:rightChars="177"/>
        <w:rPr>
          <w:rFonts w:hint="default" w:ascii="Times New Roman" w:hAnsi="Times New Roman" w:cs="Times New Roman"/>
          <w:b/>
          <w:bCs/>
          <w:szCs w:val="21"/>
          <w:shd w:val="pct10" w:color="auto" w:fill="FFFFFF"/>
        </w:rPr>
      </w:pPr>
    </w:p>
    <w:p>
      <w:pPr>
        <w:pStyle w:val="9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A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Grand Industry Event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 xml:space="preserve"> Creat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e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</w:rPr>
        <w:t>a New Benchmark for Oil &amp; Gas Innovation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</w:rPr>
      </w:pPr>
      <w:r>
        <w:rPr>
          <w:rFonts w:hint="default" w:ascii="Times New Roman" w:hAnsi="Times New Roman" w:cs="Times New Roman"/>
          <w:sz w:val="24"/>
          <w:szCs w:val="18"/>
        </w:rPr>
        <w:t>China’s Southwest oil and gas resources have always played an important role in national oil &amp; gas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December 2, 2021, the</w:t>
      </w:r>
      <w:r>
        <w:rPr>
          <w:rFonts w:hint="default" w:ascii="Times New Roman" w:hAnsi="Times New Roman" w:cs="Times New Roman"/>
          <w:sz w:val="24"/>
          <w:szCs w:val="18"/>
        </w:rPr>
        <w:t xml:space="preserve"> annual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output of </w:t>
      </w:r>
      <w:r>
        <w:rPr>
          <w:rFonts w:hint="default" w:ascii="Times New Roman" w:hAnsi="Times New Roman" w:cs="Times New Roman"/>
          <w:sz w:val="24"/>
          <w:szCs w:val="18"/>
        </w:rPr>
        <w:t>Shunan gas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field </w:t>
      </w:r>
      <w:r>
        <w:rPr>
          <w:rFonts w:hint="default" w:ascii="Times New Roman" w:hAnsi="Times New Roman" w:cs="Times New Roman"/>
          <w:sz w:val="24"/>
          <w:szCs w:val="18"/>
        </w:rPr>
        <w:t>reach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ed</w:t>
      </w:r>
      <w:r>
        <w:rPr>
          <w:rFonts w:hint="default" w:ascii="Times New Roman" w:hAnsi="Times New Roman" w:cs="Times New Roman"/>
          <w:sz w:val="24"/>
          <w:szCs w:val="18"/>
        </w:rPr>
        <w:t xml:space="preserve"> 10.008 million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</w:t>
      </w:r>
      <w:r>
        <w:rPr>
          <w:rFonts w:hint="default" w:ascii="Times New Roman" w:hAnsi="Times New Roman" w:cs="Times New Roman"/>
          <w:sz w:val="24"/>
          <w:szCs w:val="18"/>
        </w:rPr>
        <w:t>oil equivalent.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</w:rPr>
        <w:t xml:space="preserve">The 14th Five-Year Plan period will witness </w:t>
      </w:r>
      <w:r>
        <w:rPr>
          <w:rFonts w:hint="eastAsia" w:cs="Times New Roman"/>
          <w:sz w:val="24"/>
          <w:szCs w:val="18"/>
          <w:lang w:val="en-US" w:eastAsia="zh-CN"/>
        </w:rPr>
        <w:t>an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accelerated development of China's energy transformation</w:t>
      </w:r>
      <w:r>
        <w:rPr>
          <w:rFonts w:hint="default" w:ascii="Times New Roman" w:hAnsi="Times New Roman" w:cs="Times New Roman"/>
          <w:sz w:val="24"/>
          <w:szCs w:val="18"/>
        </w:rPr>
        <w:t>, which will bring more opportunities for certain niches by its green, high-end and differentiated orientations.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G</w:t>
      </w:r>
      <w:r>
        <w:rPr>
          <w:rFonts w:hint="default" w:ascii="Times New Roman" w:hAnsi="Times New Roman" w:cs="Times New Roman"/>
          <w:sz w:val="24"/>
          <w:szCs w:val="18"/>
        </w:rPr>
        <w:t>uided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by the objectives of green, safe, intelligent and innovative, a deep industry reconstruction will be stimulated by consumption upgrad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es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 xml:space="preserve"> and supply-side structural reforms.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As an annual world’s leading event for oil &amp; gas industry, cippe has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been committed to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supporting enterprises’ growth, 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/>
        </w:rPr>
        <w:t>has covered the markets in North China, East China and</w:t>
      </w:r>
      <w:r>
        <w:rPr>
          <w:rFonts w:hint="default" w:ascii="Times New Roman" w:hAnsi="Times New Roman" w:cs="Times New Roman"/>
          <w:sz w:val="24"/>
          <w:szCs w:val="18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</w:rPr>
        <w:t>outhwest China, becoming a one-stop platform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serving oil , gas and petrochemical industry</w:t>
      </w:r>
      <w:r>
        <w:rPr>
          <w:rFonts w:hint="default" w:ascii="Times New Roman" w:hAnsi="Times New Roman" w:cs="Times New Roman"/>
          <w:sz w:val="24"/>
          <w:szCs w:val="18"/>
        </w:rPr>
        <w:t xml:space="preserve">.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2022 China (Chengdu) International Petroleum &amp; Petrochemical Technology and Equipment Exhibition </w:t>
      </w:r>
      <w:r>
        <w:rPr>
          <w:rFonts w:hint="eastAsia" w:cs="Times New Roman"/>
          <w:sz w:val="24"/>
          <w:szCs w:val="18"/>
          <w:lang w:val="en-US" w:eastAsia="zh-CN"/>
        </w:rPr>
        <w:t xml:space="preserve">(cippe Chengdu)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will be held on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9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-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2022</w:t>
      </w:r>
      <w:r>
        <w:rPr>
          <w:rFonts w:hint="eastAsia" w:cs="Times New Roman"/>
          <w:sz w:val="24"/>
          <w:szCs w:val="18"/>
          <w:lang w:val="en-US" w:eastAsia="zh-CN"/>
        </w:rPr>
        <w:t xml:space="preserve"> at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Chengdu Century City New International Convention and Exhibition Center, with an </w:t>
      </w:r>
      <w:r>
        <w:rPr>
          <w:rFonts w:hint="eastAsia" w:cs="Times New Roman"/>
          <w:sz w:val="24"/>
          <w:szCs w:val="18"/>
          <w:lang w:val="en-US" w:eastAsia="zh-CN"/>
        </w:rPr>
        <w:t>gross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exhibition </w:t>
      </w:r>
      <w:r>
        <w:rPr>
          <w:rFonts w:hint="eastAsia" w:cs="Times New Roman"/>
          <w:sz w:val="24"/>
          <w:szCs w:val="18"/>
          <w:lang w:val="en-US" w:eastAsia="zh-CN"/>
        </w:rPr>
        <w:t>space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of 30,000sqm, and is expected to welcome 400+ exhibitors and 20,000+ person-time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visitors from home and abroad.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Concurrent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Events to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Promot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In-Depth Exchanges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on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Cutting-Edge Technolog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ies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Concurrently,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2022 Petroleum &amp; Petrochemical Industry Summit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will gather industry associations,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research institutes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equipment manufactur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cs="Times New Roman"/>
          <w:sz w:val="24"/>
          <w:szCs w:val="18"/>
          <w:lang w:val="en-US" w:eastAsia="zh-CN"/>
        </w:rPr>
        <w:t>experts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collectively discuss hot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spots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and pain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points</w:t>
      </w:r>
      <w:r>
        <w:rPr>
          <w:rFonts w:hint="eastAsia" w:cs="Times New Roman"/>
          <w:sz w:val="24"/>
          <w:szCs w:val="18"/>
          <w:lang w:val="en-US" w:eastAsia="zh-CN"/>
        </w:rPr>
        <w:t xml:space="preserve"> of the industry, diagnose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development trends</w:t>
      </w:r>
      <w:r>
        <w:rPr>
          <w:rFonts w:hint="eastAsia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integra</w:t>
      </w:r>
      <w:r>
        <w:rPr>
          <w:rFonts w:hint="eastAsia" w:cs="Times New Roman"/>
          <w:sz w:val="24"/>
          <w:szCs w:val="18"/>
          <w:lang w:val="en-US" w:eastAsia="zh-CN"/>
        </w:rPr>
        <w:t>te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resources, technolog</w:t>
      </w:r>
      <w:r>
        <w:rPr>
          <w:rFonts w:hint="eastAsia" w:cs="Times New Roman"/>
          <w:sz w:val="24"/>
          <w:szCs w:val="18"/>
          <w:lang w:val="en-US" w:eastAsia="zh-CN"/>
        </w:rPr>
        <w:t>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, information and </w:t>
      </w:r>
      <w:r>
        <w:rPr>
          <w:rFonts w:hint="eastAsia" w:cs="Times New Roman"/>
          <w:sz w:val="24"/>
          <w:szCs w:val="18"/>
          <w:lang w:val="en-US" w:eastAsia="zh-CN"/>
        </w:rPr>
        <w:t>research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achievements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and create a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high quality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summit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the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industry in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West China.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Matchmaking Meeting to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Effective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ly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Connect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Demand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Business Matchmaking Meeting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will be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 brand event of cippe Chengdu, aimed to provide a highly-effective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accurate and reliable platform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connecting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demand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and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supply. The organizing committee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invite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potential purchasers and deliver a VIP service including transportation, accommodation and personalized reception.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Based on buyers’ needs,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cippe Chengdu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allocat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quality exhibitors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and arrange one-on-one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communications.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Exhibitions Linkage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to Ensure the Quality of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Professional Visitors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With more than two decades’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development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the organizer, Zhenwei International Exhibition Group, has been a most specialized exhibition company with rich and profound resources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in the industry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Both of its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cippe Beijing and cippe Shanghai are leading brand exhibitions.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Adhering to the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tenet of "Professional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Visitors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Is The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V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itality of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xhibition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", </w:t>
      </w:r>
      <w:r>
        <w:rPr>
          <w:rFonts w:hint="eastAsia" w:cs="Times New Roman"/>
          <w:sz w:val="24"/>
          <w:szCs w:val="18"/>
          <w:lang w:val="en-US" w:eastAsia="zh-CN"/>
        </w:rPr>
        <w:t xml:space="preserve">and with the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advantageous resources accumulated by </w:t>
      </w:r>
      <w:r>
        <w:rPr>
          <w:rFonts w:hint="eastAsia" w:cs="Times New Roman"/>
          <w:sz w:val="24"/>
          <w:szCs w:val="18"/>
          <w:lang w:val="en-US" w:eastAsia="zh-CN"/>
        </w:rPr>
        <w:t xml:space="preserve">the series of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cippe </w:t>
      </w:r>
      <w:r>
        <w:rPr>
          <w:rFonts w:hint="eastAsia" w:cs="Times New Roman"/>
          <w:sz w:val="24"/>
          <w:szCs w:val="18"/>
          <w:lang w:val="en-US" w:eastAsia="zh-CN"/>
        </w:rPr>
        <w:t>events, the o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rganizing committee will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focus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on key niches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and specifically invite core buyers,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fully leverag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e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multi-channel promotions by means of telephone, email, SMS,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internet,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big data marketing,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social media,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cooperation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industry association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s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and others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to ensure an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effective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exhibitio</w:t>
      </w:r>
      <w:r>
        <w:rPr>
          <w:rFonts w:hint="eastAsia" w:cs="Times New Roman"/>
          <w:sz w:val="24"/>
          <w:szCs w:val="18"/>
          <w:lang w:val="en-US" w:eastAsia="zh-CN"/>
        </w:rPr>
        <w:t>n.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Quality Media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Support</w:t>
      </w:r>
      <w:r>
        <w:rPr>
          <w:rFonts w:hint="eastAsia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i/>
          <w:iCs/>
          <w:color w:val="auto"/>
          <w:sz w:val="24"/>
          <w:szCs w:val="24"/>
          <w:shd w:val="clear" w:color="auto" w:fill="FFFFFF"/>
          <w:lang w:val="en-US" w:eastAsia="zh-CN"/>
        </w:rPr>
        <w:t>Brand Communications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26" w:afterLines="40" w:line="42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sz w:val="24"/>
          <w:szCs w:val="18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cippe Chengdu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will cooperate with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domestic and abroad media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partners to promote brand communications, such as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Xinhua News, People's Daily, CCTV, China Daily, CNPC Daily, Sinopec Daily, 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Petroleum Business News,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Upstream, Worldoils, Digital Refining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 &amp; Gas Product News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Gulf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Oil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field Directory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, China Securities Journal, Shanghai Securities News, China Business News,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Wall Street Journal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>XINHUANET, Sina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</w:t>
      </w:r>
      <w:r>
        <w:rPr>
          <w:rFonts w:hint="default" w:ascii="Times New Roman" w:hAnsi="Times New Roman" w:cs="Times New Roman"/>
          <w:sz w:val="24"/>
          <w:szCs w:val="18"/>
          <w:lang w:val="en-US" w:eastAsia="zh-CN"/>
        </w:rPr>
        <w:t xml:space="preserve"> Sohu, PeopleNet</w:t>
      </w:r>
      <w:r>
        <w:rPr>
          <w:rFonts w:hint="eastAsia" w:ascii="Times New Roman" w:hAnsi="Times New Roman" w:cs="Times New Roman"/>
          <w:sz w:val="24"/>
          <w:szCs w:val="18"/>
          <w:lang w:val="en-US" w:eastAsia="zh-CN"/>
        </w:rPr>
        <w:t>, etc.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Exhibition Schedule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Registration &amp; Setting up</w:t>
      </w:r>
      <w:r>
        <w:rPr>
          <w:rFonts w:hint="eastAsia" w:cs="Times New Roman"/>
          <w:sz w:val="24"/>
          <w:szCs w:val="18"/>
          <w:lang w:val="en-US" w:eastAsia="zh-CN"/>
        </w:rPr>
        <w:t>: Oct. 7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8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cs="Times New Roman"/>
          <w:sz w:val="24"/>
          <w:szCs w:val="18"/>
          <w:lang w:val="en-US" w:eastAsia="zh-CN"/>
        </w:rPr>
      </w:pPr>
      <w:r>
        <w:rPr>
          <w:rFonts w:hint="default" w:cs="Times New Roman"/>
          <w:sz w:val="24"/>
          <w:szCs w:val="18"/>
          <w:lang w:val="en-US" w:eastAsia="zh-CN"/>
        </w:rPr>
        <w:t>Exhibition Opening</w:t>
      </w:r>
      <w:r>
        <w:rPr>
          <w:rFonts w:hint="eastAsia" w:cs="Times New Roman"/>
          <w:sz w:val="24"/>
          <w:szCs w:val="18"/>
          <w:lang w:val="en-US" w:eastAsia="zh-CN"/>
        </w:rPr>
        <w:t>: Oct. 9</w:t>
      </w:r>
      <w:r>
        <w:rPr>
          <w:rFonts w:hint="default" w:cs="Times New Roman"/>
          <w:sz w:val="24"/>
          <w:szCs w:val="18"/>
          <w:lang w:val="en-US" w:eastAsia="zh-CN"/>
        </w:rPr>
        <w:t xml:space="preserve"> -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/>
        </w:rPr>
      </w:pPr>
      <w:r>
        <w:rPr>
          <w:rFonts w:hint="default" w:cs="Times New Roman"/>
          <w:sz w:val="24"/>
          <w:szCs w:val="18"/>
          <w:lang w:val="en-US" w:eastAsia="zh-CN"/>
        </w:rPr>
        <w:t>Closing &amp; Dismantling:</w:t>
      </w:r>
      <w:r>
        <w:rPr>
          <w:rFonts w:hint="eastAsia" w:cs="Times New Roman"/>
          <w:sz w:val="24"/>
          <w:szCs w:val="18"/>
          <w:lang w:val="en-US" w:eastAsia="zh-CN"/>
        </w:rPr>
        <w:t xml:space="preserve"> </w:t>
      </w:r>
      <w:r>
        <w:rPr>
          <w:rFonts w:hint="default" w:cs="Times New Roman"/>
          <w:sz w:val="24"/>
          <w:szCs w:val="18"/>
          <w:lang w:val="en-US" w:eastAsia="zh-CN"/>
        </w:rPr>
        <w:t xml:space="preserve">Begin at 14:00pm, </w:t>
      </w:r>
      <w:r>
        <w:rPr>
          <w:rFonts w:hint="eastAsia" w:cs="Times New Roman"/>
          <w:sz w:val="24"/>
          <w:szCs w:val="18"/>
          <w:lang w:val="en-US" w:eastAsia="zh-CN"/>
        </w:rPr>
        <w:t>Oct.</w:t>
      </w:r>
      <w:r>
        <w:rPr>
          <w:rFonts w:hint="default" w:cs="Times New Roman"/>
          <w:sz w:val="24"/>
          <w:szCs w:val="18"/>
          <w:lang w:val="en-US" w:eastAsia="zh-CN"/>
        </w:rPr>
        <w:t xml:space="preserve"> </w:t>
      </w:r>
      <w:r>
        <w:rPr>
          <w:rFonts w:hint="eastAsia" w:cs="Times New Roman"/>
          <w:sz w:val="24"/>
          <w:szCs w:val="18"/>
          <w:lang w:val="en-US" w:eastAsia="zh-CN"/>
        </w:rPr>
        <w:t>11</w:t>
      </w:r>
      <w:r>
        <w:rPr>
          <w:rFonts w:hint="default" w:cs="Times New Roman"/>
          <w:sz w:val="24"/>
          <w:szCs w:val="18"/>
          <w:lang w:val="en-US" w:eastAsia="zh-CN"/>
        </w:rPr>
        <w:t>, 2022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 Profile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&amp; gas exploration, exploit, and production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Geophysical exploration, well logging and drilling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Well completion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Marine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Natural gas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Automation technology equipment, instruments and meters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field surface engineering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Petroleum &amp; petrochemical equipment and manufacturing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Industrial explosion-proof products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pipeline engineering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Underground engineering and trenchless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Power systems, power generation and supply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Gas Storage &amp; Transportation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Oilfield Special Vehicle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Electrical &amp; electronic equipment, cable and electric wire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refining technological process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process and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Examination &amp; repair, maintenance, and management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Fluid control equipment- Compressor, Pump, Blower and Valve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Pressure Vessels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Oil and lubricating oil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Petrochemical products and advanced material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Refueling station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Environmental protection and energy conservation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Fire and alarm equipment, articles for industrial safety and labor protection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sz w:val="24"/>
          <w:szCs w:val="24"/>
        </w:rPr>
        <w:t>•</w:t>
      </w:r>
      <w:r>
        <w:rPr>
          <w:rFonts w:hint="default" w:ascii="Times New Roman" w:hAnsi="Times New Roman" w:cs="Times New Roman"/>
          <w:sz w:val="24"/>
          <w:szCs w:val="24"/>
        </w:rPr>
        <w:t xml:space="preserve">  Anti-corrosion technology and material, industrial rinsing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Packing, sealing, gasket, fastener, bearing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Digital solutions for oil and gas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Communications and information technology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Hydrogen technology and equipment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Certification, consulting services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•  Scientific research and laboratory in petroleum &amp; petrochemical industry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0" w:firstLineChars="0"/>
        <w:textAlignment w:val="auto"/>
        <w:rPr>
          <w:rFonts w:hint="default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•  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Tools</w:t>
      </w:r>
      <w:r>
        <w:rPr>
          <w:rFonts w:hint="eastAsia" w:cs="Times New Roman"/>
          <w:sz w:val="24"/>
          <w:szCs w:val="24"/>
          <w:lang w:val="en-US" w:eastAsia="zh-CN"/>
        </w:rPr>
        <w:t xml:space="preserve"> &amp; Spare Parts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20" w:lineRule="exact"/>
        <w:textAlignment w:val="auto"/>
        <w:rPr>
          <w:rFonts w:hint="default" w:ascii="Times New Roman" w:hAnsi="Times New Roman" w:cs="Times New Roman"/>
          <w:i/>
          <w:iCs/>
        </w:rPr>
      </w:pPr>
      <w:r>
        <w:rPr>
          <w:rFonts w:hint="default" w:ascii="Times New Roman" w:hAnsi="Times New Roman" w:cs="Times New Roman"/>
          <w:b/>
          <w:bCs/>
          <w:i/>
          <w:iCs/>
          <w:color w:val="auto"/>
          <w:sz w:val="28"/>
          <w:szCs w:val="28"/>
          <w:shd w:val="clear" w:color="auto" w:fill="FFFFFF"/>
          <w:lang w:val="en-US" w:eastAsia="zh-CN"/>
        </w:rPr>
        <w:t>Exhibiting Costs (Not Including VAT)</w:t>
      </w:r>
    </w:p>
    <w:tbl>
      <w:tblPr>
        <w:tblStyle w:val="10"/>
        <w:tblW w:w="9776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Exhibition Space</w:t>
            </w: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Shell Scheme Booth: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21,800/9SQM; Regular Size : 3m×3m.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This option includes back &amp; inside walls, carpet, lintel board, one consulting table, two chairs, two lights and one power socket (220V, 5A).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方正书宋简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Please specify in advance for special electricity use, and 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will be 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charge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d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 xml:space="preserve"> separately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</w:p>
        </w:tc>
        <w:tc>
          <w:tcPr>
            <w:tcW w:w="8080" w:type="dxa"/>
          </w:tcPr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Raw Space: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CNY 2,180/SQM (Mini</w:t>
            </w:r>
            <w:r>
              <w:rPr>
                <w:rFonts w:hint="eastAsia" w:ascii="Times New Roman" w:cs="Times New Roman"/>
                <w:sz w:val="22"/>
                <w:szCs w:val="22"/>
                <w:lang w:val="en-US" w:eastAsia="zh-CN"/>
              </w:rPr>
              <w:t xml:space="preserve">mum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36sqm). 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Empty exhibition space for exhibitor to customize booth design and construction. The exhibitors shall not choose a contractor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that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is not designated by the organize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Exhibitor Service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Additional Exhibitor Service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>Price:</w:t>
            </w: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1,200/person (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I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ncludes lunches, beverages, manuals, gifts, etc.)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Catalogue Ad.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Back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20,000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     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Head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18,000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Inside Front Cover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15,000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hint="eastAsia" w:eastAsia="等线" w:cs="Times New Roman"/>
                <w:color w:val="000000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Colored Inside Page</w:t>
            </w:r>
            <w:r>
              <w:rPr>
                <w:rFonts w:hint="default" w:ascii="Times New Roman" w:hAnsi="Times New Roman" w:eastAsia="等线" w:cs="Times New Roman"/>
                <w:color w:val="000000"/>
                <w:sz w:val="22"/>
                <w:szCs w:val="22"/>
              </w:rPr>
              <w:t xml:space="preserve">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 8,000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Size: 130mm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(width)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×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8AAE"/>
                <w:sz w:val="22"/>
                <w:szCs w:val="22"/>
              </w:rPr>
              <w:t>210m</w:t>
            </w:r>
            <w:r>
              <w:rPr>
                <w:rFonts w:hint="eastAsia" w:cs="Times New Roman"/>
                <w:b/>
                <w:bCs/>
                <w:color w:val="008AAE"/>
                <w:sz w:val="22"/>
                <w:szCs w:val="22"/>
                <w:lang w:val="en-US" w:eastAsia="zh-CN"/>
              </w:rPr>
              <w:t>m (height)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69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等线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2"/>
                <w:szCs w:val="22"/>
              </w:rPr>
              <w:t>Technical Seminar</w:t>
            </w:r>
          </w:p>
        </w:tc>
        <w:tc>
          <w:tcPr>
            <w:tcW w:w="808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A series of technical seminars will be held during the exhibition so as to maximally meet participants’ requirements for technical communication and products launch as well.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2"/>
                <w:szCs w:val="22"/>
              </w:rPr>
              <w:t>Technical Seminar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 xml:space="preserve"> (Conference Room)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Cs/>
                <w:sz w:val="22"/>
                <w:szCs w:val="22"/>
              </w:rPr>
              <w:t xml:space="preserve">Price: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CNY15,000/Session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Including venue, audio equipment, projector, on-site sign, water, etc.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0" w:after="251" w:afterLines="80" w:line="32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 xml:space="preserve">More Sponsorship Opportunities, please contact cippe </w:t>
      </w:r>
      <w:r>
        <w:rPr>
          <w:rFonts w:hint="eastAsia" w:eastAsia="黑体" w:cs="Times New Roman"/>
          <w:sz w:val="24"/>
          <w:szCs w:val="24"/>
          <w:lang w:val="en-US" w:eastAsia="zh-CN"/>
        </w:rPr>
        <w:t xml:space="preserve">Chengdu </w:t>
      </w:r>
      <w:r>
        <w:rPr>
          <w:rFonts w:hint="default" w:ascii="Times New Roman" w:hAnsi="Times New Roman" w:eastAsia="黑体" w:cs="Times New Roman"/>
          <w:sz w:val="24"/>
          <w:szCs w:val="24"/>
        </w:rPr>
        <w:t>organizational committee.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123825</wp:posOffset>
            </wp:positionV>
            <wp:extent cx="915670" cy="753745"/>
            <wp:effectExtent l="0" t="0" r="29210" b="38735"/>
            <wp:wrapTight wrapText="bothSides">
              <wp:wrapPolygon>
                <wp:start x="0" y="0"/>
                <wp:lineTo x="0" y="20963"/>
                <wp:lineTo x="21211" y="20963"/>
                <wp:lineTo x="21211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66675</wp:posOffset>
                </wp:positionV>
                <wp:extent cx="0" cy="864235"/>
                <wp:effectExtent l="5080" t="0" r="10160" b="19685"/>
                <wp:wrapSquare wrapText="bothSides"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line">
                          <a:avLst/>
                        </a:prstGeom>
                        <a:noFill/>
                        <a:ln w="6350" cmpd="sng">
                          <a:solidFill>
                            <a:srgbClr val="000000"/>
                          </a:solidFill>
                          <a:round/>
                        </a:ln>
                        <a:effectLst>
                          <a:outerShdw dist="20000" dir="5400000" rotWithShape="0">
                            <a:srgbClr val="808080">
                              <a:alpha val="37999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2.7pt;margin-top:5.25pt;height:68.05pt;width:0pt;mso-wrap-distance-bottom:0pt;mso-wrap-distance-left:9pt;mso-wrap-distance-right:9pt;mso-wrap-distance-top:0pt;z-index:251664384;mso-width-relative:page;mso-height-relative:page;" filled="f" stroked="t" coordsize="21600,21600" o:gfxdata="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xrdLXAAAACgEAAA8AAAAAAAAAAQAgAAAAIgAAAGRycy9kb3ducmV2LnhtbFBL&#10;AQIUABQAAAAIAIdO4kArnD2sMAIAAFIEAAAOAAAAAAAAAAEAIAAAACYBAABkcnMvZTJvRG9jLnht&#10;bFBLBQYAAAAABgAGAFkBAADIBQAAAAA=&#10;">
                <v:fill on="f" focussize="0,0"/>
                <v:stroke weight="0.5pt" color="#000000" joinstyle="round"/>
                <v:imagedata o:title=""/>
                <o:lock v:ext="edit" aspectratio="f"/>
                <v:shadow on="t" color="#808080" opacity="24903f" offset="0pt,1.5748031496063pt" origin="0f,32768f" matrix="65536f,0f,0f,65536f"/>
                <w10:wrap type="square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18"/>
          <w:szCs w:val="18"/>
        </w:rPr>
        <w:t>Organizer: Zhenwei International Exhibition Group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sz w:val="18"/>
          <w:szCs w:val="18"/>
        </w:rPr>
        <w:t>Beijing Zhenwei Exhibition Co., Ltd.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Add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sz w:val="18"/>
          <w:szCs w:val="18"/>
        </w:rPr>
        <w:t xml:space="preserve">Zhenwei Exhibition Building, Building III13, International Enterprise Avenue, Yard 1, Jinghai 5th Road, Tongzhou District, Beijing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cs="Times New Roman"/>
          <w:kern w:val="0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Tel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>:</w:t>
      </w:r>
      <w:r>
        <w:rPr>
          <w:rFonts w:hint="eastAsia" w:ascii="Times New Roman" w:cs="Times New Roman"/>
          <w:b/>
          <w:bCs/>
          <w:sz w:val="18"/>
          <w:szCs w:val="18"/>
          <w:lang w:val="en-US" w:eastAsia="zh-CN"/>
        </w:rPr>
        <w:t>13718632874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hint="eastAsia" w:ascii="Times New Roman" w:cs="Times New Roman"/>
          <w:sz w:val="18"/>
          <w:szCs w:val="18"/>
          <w:highlight w:val="none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  Fax</w:t>
      </w:r>
      <w:r>
        <w:rPr>
          <w:rFonts w:hint="default" w:ascii="Times New Roman" w:hAnsi="Times New Roman" w:cs="Times New Roman"/>
          <w:b/>
          <w:bCs/>
          <w:sz w:val="18"/>
          <w:szCs w:val="18"/>
        </w:rPr>
        <w:t xml:space="preserve">: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010-5617 6998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470" w:leftChars="700" w:firstLine="0" w:firstLineChars="0"/>
        <w:jc w:val="left"/>
        <w:textAlignment w:val="auto"/>
        <w:rPr>
          <w:rFonts w:hint="default" w:ascii="Times New Roman" w:hAnsi="Times New Roman" w:eastAsia="方正书宋简体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"http://www.cippe.com.cn"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</w:rPr>
        <w:t>www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.</w:t>
      </w:r>
      <w:r>
        <w:rPr>
          <w:rStyle w:val="15"/>
          <w:rFonts w:hint="default" w:ascii="Times New Roman" w:cs="Times New Roman"/>
          <w:kern w:val="0"/>
          <w:sz w:val="18"/>
          <w:szCs w:val="18"/>
        </w:rPr>
        <w:t>cd.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t>cippe.com.cn</w:t>
      </w:r>
      <w:r>
        <w:rPr>
          <w:rStyle w:val="15"/>
          <w:rFonts w:hint="default" w:ascii="Times New Roman" w:hAnsi="Times New Roman" w:cs="Times New Roman"/>
          <w:kern w:val="0"/>
          <w:sz w:val="18"/>
          <w:szCs w:val="18"/>
          <w:lang w:val="fr-FR"/>
        </w:rPr>
        <w:fldChar w:fldCharType="end"/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kern w:val="0"/>
          <w:sz w:val="18"/>
          <w:szCs w:val="18"/>
          <w:lang w:val="fr-FR"/>
        </w:rPr>
        <w:t xml:space="preserve"> E-mail</w:t>
      </w:r>
      <w:r>
        <w:rPr>
          <w:rFonts w:hint="default" w:ascii="Times New Roman" w:hAnsi="Times New Roman" w:cs="Times New Roman"/>
          <w:b/>
          <w:bCs/>
          <w:sz w:val="18"/>
          <w:szCs w:val="18"/>
          <w:lang w:val="fr-FR"/>
        </w:rPr>
        <w:t>: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</w:t>
      </w:r>
      <w:r>
        <w:rPr>
          <w:rFonts w:hint="default" w:ascii="Times New Roman" w:cs="Times New Roman"/>
          <w:sz w:val="18"/>
          <w:szCs w:val="18"/>
        </w:rPr>
        <w:t xml:space="preserve">  </w:t>
      </w:r>
      <w:r>
        <w:rPr>
          <w:rFonts w:hint="eastAsia" w:ascii="Times New Roman" w:cs="Times New Roman"/>
          <w:sz w:val="18"/>
          <w:szCs w:val="18"/>
          <w:lang w:val="en-US" w:eastAsia="zh-CN"/>
        </w:rPr>
        <w:t>zcy</w:t>
      </w:r>
      <w:r>
        <w:rPr>
          <w:rFonts w:hint="default" w:ascii="Times New Roman" w:hAnsi="Times New Roman" w:cs="Times New Roman"/>
          <w:highlight w:val="none"/>
        </w:rPr>
        <w:fldChar w:fldCharType="begin"/>
      </w:r>
      <w:r>
        <w:rPr>
          <w:rFonts w:hint="default" w:ascii="Times New Roman" w:hAnsi="Times New Roman" w:cs="Times New Roman"/>
          <w:highlight w:val="none"/>
        </w:rPr>
        <w:instrText xml:space="preserve"> HYPERLINK "mailto:tq@zhenweiexpo.com" </w:instrText>
      </w:r>
      <w:r>
        <w:rPr>
          <w:rFonts w:hint="default" w:ascii="Times New Roman" w:hAnsi="Times New Roman" w:cs="Times New Roman"/>
          <w:highlight w:val="none"/>
        </w:rPr>
        <w:fldChar w:fldCharType="separate"/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t>@zhenweiexpo.com</w:t>
      </w:r>
      <w:r>
        <w:rPr>
          <w:rStyle w:val="15"/>
          <w:rFonts w:hint="default" w:ascii="Times New Roman" w:hAnsi="Times New Roman" w:cs="Times New Roman"/>
          <w:sz w:val="18"/>
          <w:szCs w:val="18"/>
          <w:highlight w:val="none"/>
          <w:lang w:val="fr-FR"/>
        </w:rPr>
        <w:fldChar w:fldCharType="end"/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fr-FR"/>
        </w:rPr>
        <w:t>Contact:</w:t>
      </w:r>
      <w:r>
        <w:rPr>
          <w:rFonts w:hint="eastAsia" w:ascii="Times New Roman" w:cs="Times New Roman"/>
          <w:sz w:val="18"/>
          <w:szCs w:val="18"/>
          <w:lang w:val="en-US" w:eastAsia="zh-CN"/>
        </w:rPr>
        <w:t xml:space="preserve"> CathyZhang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cs="Times New Roman"/>
          <w:sz w:val="18"/>
          <w:szCs w:val="18"/>
          <w:lang w:val="fr-F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28"/>
        </w:rPr>
      </w:pPr>
      <w:r>
        <w:rPr>
          <w:rFonts w:hint="default" w:ascii="Times New Roman" w:hAnsi="Times New Roman" w:cs="Times New Roman"/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-447040</wp:posOffset>
            </wp:positionV>
            <wp:extent cx="1935480" cy="447675"/>
            <wp:effectExtent l="0" t="0" r="0" b="0"/>
            <wp:wrapNone/>
            <wp:docPr id="1" name="图片 1" descr="/Users/wanghongjie/Desktop/成都石油展/【logo】2022成都石油展/成都石油展英文LOGO.png成都石油展英文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wanghongjie/Desktop/成都石油展/【logo】2022成都石油展/成都石油展英文LOGO.png成都石油展英文LOGO"/>
                    <pic:cNvPicPr>
                      <a:picLocks noChangeAspect="1"/>
                    </pic:cNvPicPr>
                  </pic:nvPicPr>
                  <pic:blipFill>
                    <a:blip r:embed="rId5"/>
                    <a:srcRect l="2723" r="6074" b="3292"/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2"/>
          <w:szCs w:val="28"/>
        </w:rPr>
        <w:t>Application Form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57785</wp:posOffset>
                </wp:positionV>
                <wp:extent cx="6191885" cy="0"/>
                <wp:effectExtent l="0" t="0" r="0" b="0"/>
                <wp:wrapNone/>
                <wp:docPr id="7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2" o:spid="_x0000_s1026" o:spt="20" style="position:absolute;left:0pt;margin-left:0.6pt;margin-top:4.55pt;height:0pt;width:487.55pt;z-index:251659264;mso-width-relative:page;mso-height-relative:page;" filled="f" stroked="t" coordsize="21600,21600" o:gfxdata="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b6f1tIAAAAFAQAADwAAAAAA&#10;AAABACAAAAAiAAAAZHJzL2Rvd25yZXYueG1sUEsBAhQAFAAAAAgAh07iQKjL2JvgAQAA0AMAAA4A&#10;AAAAAAAAAQAgAAAAIQ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</w:t>
      </w:r>
      <w:r>
        <w:rPr>
          <w:rFonts w:hint="eastAsia" w:cs="Times New Roman"/>
          <w:b/>
          <w:spacing w:val="-10"/>
          <w:sz w:val="24"/>
          <w:szCs w:val="24"/>
          <w:lang w:val="en-US" w:eastAsia="zh-CN"/>
        </w:rPr>
        <w:t>0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22 China (Chengdu) International Petroleum &amp; Petrochemical Technology and Equipment Exhibition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line="400" w:lineRule="exact"/>
        <w:jc w:val="center"/>
        <w:textAlignment w:val="auto"/>
        <w:rPr>
          <w:rFonts w:hint="default" w:ascii="Times New Roman" w:hAnsi="Times New Roman" w:cs="Times New Roman"/>
          <w:b/>
          <w:spacing w:val="-10"/>
          <w:sz w:val="24"/>
          <w:szCs w:val="24"/>
        </w:rPr>
      </w:pP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Oct. 9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  <w:lang w:val="en-US" w:eastAsia="zh-CN"/>
        </w:rPr>
        <w:t xml:space="preserve"> - </w:t>
      </w:r>
      <w:r>
        <w:rPr>
          <w:rFonts w:hint="eastAsia" w:ascii="Times New Roman" w:hAnsi="Times New Roman" w:cs="Times New Roman"/>
          <w:b/>
          <w:spacing w:val="-10"/>
          <w:sz w:val="24"/>
          <w:szCs w:val="24"/>
          <w:lang w:val="en-US" w:eastAsia="zh-CN"/>
        </w:rPr>
        <w:t>11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>, 2022   Chengdu Century City New International Convention and Exhibition Center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20" w:lineRule="exact"/>
        <w:ind w:firstLine="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Please fill out the form below and then send it back to the organizer via fax or email.</w:t>
      </w:r>
      <w:r>
        <w:rPr>
          <w:rFonts w:hint="default" w:ascii="Times New Roman" w:hAnsi="Times New Roman" w:cs="Times New Roman" w:eastAsiaTheme="minorEastAsia"/>
          <w:b/>
          <w:spacing w:val="20"/>
          <w:szCs w:val="21"/>
        </w:rPr>
        <w:t xml:space="preserve">     </w:t>
      </w:r>
      <w:r>
        <w:rPr>
          <w:rFonts w:hint="default" w:ascii="Times New Roman" w:hAnsi="Times New Roman" w:cs="Times New Roman" w:eastAsiaTheme="minorEastAsia"/>
          <w:szCs w:val="21"/>
        </w:rPr>
        <w:t xml:space="preserve">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Company Name: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Address: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Country: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Postal/Zip code: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 xml:space="preserve">Contact (Mr. / Ms.):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 xml:space="preserve"> Position: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Mobile: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TEL: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FAX: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Website: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</w:t>
      </w:r>
      <w:r>
        <w:rPr>
          <w:rFonts w:hint="default" w:ascii="Times New Roman" w:hAnsi="Times New Roman" w:eastAsia="宋体" w:cs="Times New Roman"/>
          <w:sz w:val="21"/>
          <w:szCs w:val="24"/>
        </w:rPr>
        <w:t>E-mail: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/>
        <w:textAlignment w:val="auto"/>
        <w:rPr>
          <w:rFonts w:hint="default" w:ascii="Times New Roman" w:hAnsi="Times New Roman" w:eastAsia="宋体" w:cs="Times New Roman"/>
          <w:sz w:val="21"/>
          <w:szCs w:val="24"/>
          <w:u w:val="single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Main products/exhibits (English):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                                             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Exhibition Space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Times New Roman" w:hAnsi="Times New Roman" w:eastAsia="黑体" w:cs="Times New Roman"/>
          <w:kern w:val="2"/>
          <w:sz w:val="28"/>
          <w:szCs w:val="20"/>
          <w:lang w:val="en-US" w:eastAsia="zh-CN" w:bidi="ar-SA"/>
        </w:rPr>
      </w:pPr>
      <w:r>
        <w:rPr>
          <w:rFonts w:hint="eastAsia" w:ascii="Arial" w:hAnsi="Arial" w:cs="Arial"/>
          <w:sz w:val="21"/>
          <w:szCs w:val="24"/>
          <w:lang w:eastAsia="zh-CN"/>
        </w:rPr>
        <w:t>□</w:t>
      </w:r>
      <w:r>
        <w:rPr>
          <w:rFonts w:hint="eastAsia" w:ascii="Arial" w:hAnsi="Arial" w:eastAsia="宋体" w:cs="Arial"/>
          <w:sz w:val="21"/>
          <w:szCs w:val="24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Shell 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cheme: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SQM (CNY</w:t>
      </w:r>
      <w:r>
        <w:rPr>
          <w:rFonts w:hint="default" w:ascii="Times New Roman" w:hAnsi="Times New Roman" w:eastAsia="宋体" w:cs="Times New Roman"/>
          <w:sz w:val="21"/>
          <w:szCs w:val="22"/>
        </w:rPr>
        <w:t>21, 800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 xml:space="preserve"> / 9sqm)  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ind w:firstLine="210" w:firstLineChars="100"/>
        <w:jc w:val="left"/>
        <w:textAlignment w:val="auto"/>
        <w:rPr>
          <w:rFonts w:hint="default" w:ascii="Times New Roman" w:hAnsi="Times New Roman" w:cs="Times New Roman"/>
          <w:szCs w:val="22"/>
          <w:u w:val="single"/>
        </w:rPr>
      </w:pPr>
      <w:r>
        <w:rPr>
          <w:rFonts w:hint="default" w:ascii="Times New Roman" w:hAnsi="Times New Roman" w:cs="Times New Roman"/>
          <w:szCs w:val="22"/>
        </w:rPr>
        <w:t xml:space="preserve">Preferred booth numbers: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szCs w:val="22"/>
        </w:rPr>
        <w:t xml:space="preserve">Fee: </w:t>
      </w:r>
      <w:r>
        <w:rPr>
          <w:rFonts w:hint="default" w:ascii="Times New Roman" w:hAnsi="Times New Roman" w:cs="Times New Roman"/>
          <w:szCs w:val="22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left="360" w:hanging="36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Raw space: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 (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CNY</w:t>
      </w:r>
      <w:r>
        <w:rPr>
          <w:rFonts w:hint="default" w:ascii="Times New Roman" w:hAnsi="Times New Roman" w:cs="Times New Roman"/>
          <w:sz w:val="21"/>
        </w:rPr>
        <w:t>2, 18</w:t>
      </w:r>
      <w:r>
        <w:rPr>
          <w:rFonts w:hint="eastAsia" w:ascii="Times New Roman" w:hAnsi="Times New Roman" w:cs="Times New Roman"/>
          <w:sz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/</w:t>
      </w:r>
      <w:r>
        <w:rPr>
          <w:rFonts w:hint="eastAsia"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t>sqm</w:t>
      </w:r>
      <w:r>
        <w:rPr>
          <w:rFonts w:hint="default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 xml:space="preserve">  minimum 36</w:t>
      </w:r>
      <w:r>
        <w:rPr>
          <w:rFonts w:hint="eastAsia" w:ascii="Times New Roman" w:hAnsi="Times New Roman" w:eastAsia="黑体" w:cs="Times New Roman"/>
          <w:kern w:val="2"/>
          <w:sz w:val="21"/>
          <w:szCs w:val="20"/>
          <w:lang w:val="en-US" w:eastAsia="zh-CN" w:bidi="ar-SA"/>
        </w:rPr>
        <w:t>sqm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)</w:t>
      </w:r>
    </w:p>
    <w:p>
      <w:pPr>
        <w:keepNext w:val="0"/>
        <w:keepLines w:val="0"/>
        <w:pageBreakBefore w:val="0"/>
        <w:widowControl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bidi w:val="0"/>
        <w:snapToGrid/>
        <w:spacing w:line="380" w:lineRule="exact"/>
        <w:ind w:firstLine="210" w:firstLineChars="100"/>
        <w:jc w:val="both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>Preferred booth numbers: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t xml:space="preserve">Fee: </w:t>
      </w:r>
      <w:r>
        <w:rPr>
          <w:rFonts w:hint="default" w:ascii="Times New Roman" w:hAnsi="Times New Roman" w:eastAsia="宋体" w:cs="Times New Roman"/>
          <w:kern w:val="2"/>
          <w:sz w:val="21"/>
          <w:szCs w:val="24"/>
          <w:u w:val="single"/>
          <w:lang w:val="en-US" w:eastAsia="zh-CN" w:bidi="ar-SA"/>
        </w:rPr>
        <w:t xml:space="preserve">              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after="32" w:afterLines="10" w:line="42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Sponsorship &amp; Advertisement</w:t>
      </w:r>
    </w:p>
    <w:tbl>
      <w:tblPr>
        <w:tblStyle w:val="10"/>
        <w:tblW w:w="9870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</w:trPr>
        <w:tc>
          <w:tcPr>
            <w:tcW w:w="9870" w:type="dxa"/>
          </w:tcPr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Exhibition Catalogue Ad.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Front Cover </w:t>
            </w:r>
            <w:r>
              <w:rPr>
                <w:rFonts w:hint="default" w:ascii="Times New Roman" w:hAnsi="Times New Roman" w:cs="Times New Roman"/>
                <w:sz w:val="21"/>
              </w:rPr>
              <w:t>CNY25,000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Front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Head Page </w:t>
            </w:r>
            <w:r>
              <w:rPr>
                <w:rFonts w:hint="default" w:ascii="Times New Roman" w:hAnsi="Times New Roman" w:cs="Times New Roman"/>
                <w:sz w:val="21"/>
              </w:rPr>
              <w:t>CNY18,000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Back Cover </w:t>
            </w:r>
            <w:r>
              <w:rPr>
                <w:rFonts w:hint="default" w:ascii="Times New Roman" w:hAnsi="Times New Roman" w:cs="Times New Roman"/>
                <w:sz w:val="21"/>
              </w:rPr>
              <w:t>CNY20,000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Inside Back Cover </w:t>
            </w:r>
            <w:r>
              <w:rPr>
                <w:rFonts w:hint="default" w:ascii="Times New Roman" w:hAnsi="Times New Roman" w:cs="Times New Roman"/>
                <w:sz w:val="21"/>
              </w:rPr>
              <w:t xml:space="preserve">CNY15,000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 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Colored Inside Page </w:t>
            </w:r>
            <w:r>
              <w:rPr>
                <w:rFonts w:hint="default" w:ascii="Times New Roman" w:hAnsi="Times New Roman" w:cs="Times New Roman"/>
                <w:sz w:val="21"/>
              </w:rPr>
              <w:t>CNY8,000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Technical Seminar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420" w:leftChars="200" w:firstLine="0" w:firstLineChars="0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□</w:t>
            </w:r>
            <w:r>
              <w:rPr>
                <w:rFonts w:hint="eastAsia" w:eastAsia="宋体" w:cs="Times New Roman"/>
                <w:sz w:val="21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Technical Seminar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CNY15,000/Session     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eastAsia" w:ascii="Arial" w:hAnsi="Arial" w:eastAsia="宋体" w:cs="Arial"/>
                <w:sz w:val="21"/>
                <w:szCs w:val="24"/>
              </w:rPr>
              <w:t xml:space="preserve">□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 xml:space="preserve">Additional Exhibitor Service CNY 1,200/person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  <w:u w:val="single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4"/>
              </w:rPr>
              <w:t>Person(s)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6" w:beforeLines="40" w:line="340" w:lineRule="exact"/>
        <w:ind w:leftChars="0" w:firstLine="0" w:firstLineChars="0"/>
        <w:textAlignment w:val="auto"/>
        <w:rPr>
          <w:rFonts w:hint="default" w:ascii="Times New Roman" w:hAnsi="Times New Roman" w:eastAsia="宋体" w:cs="Times New Roman"/>
          <w:b/>
          <w:sz w:val="21"/>
          <w:szCs w:val="24"/>
        </w:rPr>
      </w:pPr>
      <w:r>
        <w:rPr>
          <w:rFonts w:hint="default" w:ascii="Times New Roman" w:hAnsi="Times New Roman" w:eastAsia="宋体" w:cs="Times New Roman"/>
          <w:b/>
          <w:sz w:val="21"/>
          <w:szCs w:val="24"/>
        </w:rPr>
        <w:t>Total fee: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1"/>
          <w:szCs w:val="24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Payment Date: </w:t>
      </w:r>
      <w:r>
        <w:rPr>
          <w:rFonts w:hint="default" w:ascii="Times New Roman" w:hAnsi="Times New Roman" w:eastAsia="宋体" w:cs="Times New Roman"/>
          <w:b/>
          <w:sz w:val="21"/>
          <w:szCs w:val="24"/>
          <w:u w:val="single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b/>
          <w:sz w:val="21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95" w:before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Special Attention</w:t>
      </w:r>
      <w:r>
        <w:rPr>
          <w:rFonts w:hint="eastAsia" w:cs="Times New Roman"/>
          <w:b/>
          <w:lang w:val="en-US" w:eastAsia="zh-CN"/>
        </w:rPr>
        <w:t>s</w:t>
      </w:r>
      <w:r>
        <w:rPr>
          <w:rFonts w:hint="default" w:ascii="Times New Roman" w:hAnsi="Times New Roman" w:cs="Times New Roman"/>
          <w:b/>
        </w:rPr>
        <w:t xml:space="preserve">: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95" w:afterLines="30" w:line="340" w:lineRule="exact"/>
        <w:ind w:leftChars="0" w:firstLine="0" w:firstLineChars="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Cs w:val="21"/>
        </w:rPr>
        <w:t xml:space="preserve">Please remit the total participation fee to the account appointed by the organizer within </w:t>
      </w:r>
      <w:r>
        <w:rPr>
          <w:rFonts w:hint="eastAsia" w:cs="Times New Roman"/>
          <w:szCs w:val="21"/>
          <w:lang w:val="en-US" w:eastAsia="zh-CN"/>
        </w:rPr>
        <w:t xml:space="preserve">7 </w:t>
      </w:r>
      <w:r>
        <w:rPr>
          <w:rFonts w:hint="default" w:ascii="Times New Roman" w:hAnsi="Times New Roman" w:cs="Times New Roman"/>
          <w:szCs w:val="21"/>
        </w:rPr>
        <w:t>business days upon receipt the confirmation letter;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2. </w:t>
      </w:r>
      <w:r>
        <w:rPr>
          <w:rFonts w:hint="default" w:ascii="Times New Roman" w:hAnsi="Times New Roman" w:cs="Times New Roman"/>
          <w:szCs w:val="21"/>
        </w:rPr>
        <w:t>Booking received without this deposit will not be confirmed;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3.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payment cannot be refunded if exhibitors do not exhibit for its own reason;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4.</w:t>
      </w:r>
      <w:r>
        <w:rPr>
          <w:rFonts w:hint="eastAsia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The exhibiting products should meet the exhibit scope and theme, and should not infringe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</w:rPr>
        <w:t>intellectual property rights, otherwise the exhibitors should bear the full legal responsibility</w:t>
      </w:r>
      <w:r>
        <w:rPr>
          <w:rFonts w:hint="eastAsia" w:cs="Times New Roman"/>
          <w:szCs w:val="21"/>
          <w:lang w:val="en-US" w:eastAsia="zh-CN"/>
        </w:rPr>
        <w:t xml:space="preserve">; 5. </w:t>
      </w:r>
      <w:r>
        <w:rPr>
          <w:rFonts w:hint="eastAsia" w:cs="Times New Roman"/>
          <w:sz w:val="22"/>
          <w:szCs w:val="22"/>
          <w:lang w:val="en-US" w:eastAsia="zh-CN"/>
        </w:rPr>
        <w:t>E</w:t>
      </w:r>
      <w:r>
        <w:rPr>
          <w:rFonts w:hint="default" w:ascii="Times New Roman" w:hAnsi="Times New Roman" w:cs="Times New Roman"/>
          <w:sz w:val="22"/>
          <w:szCs w:val="22"/>
        </w:rPr>
        <w:t>xhibitors shall not choose a contractor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 xml:space="preserve"> that</w:t>
      </w:r>
      <w:r>
        <w:rPr>
          <w:rFonts w:hint="default" w:ascii="Times New Roman" w:hAnsi="Times New Roman" w:cs="Times New Roman"/>
          <w:sz w:val="22"/>
          <w:szCs w:val="22"/>
        </w:rPr>
        <w:t xml:space="preserve"> is not designated by the organize</w:t>
      </w:r>
      <w:r>
        <w:rPr>
          <w:rFonts w:hint="eastAsia" w:ascii="Times New Roman" w:hAnsi="Times New Roman" w:cs="Times New Roman"/>
          <w:sz w:val="22"/>
          <w:szCs w:val="22"/>
          <w:lang w:val="en-US" w:eastAsia="zh-CN"/>
        </w:rPr>
        <w:t>r.</w:t>
      </w:r>
    </w:p>
    <w:tbl>
      <w:tblPr>
        <w:tblStyle w:val="10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5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Beijing Zhenwei Exhibition Co., Ltd.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cs="Times New Roman"/>
                <w:b/>
                <w:sz w:val="20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Tel: </w:t>
            </w:r>
            <w:r>
              <w:rPr>
                <w:rFonts w:hint="default" w:ascii="Times New Roman" w:hAnsi="Times New Roman" w:cs="Times New Roman"/>
                <w:bCs/>
                <w:sz w:val="20"/>
                <w:szCs w:val="22"/>
              </w:rPr>
              <w:t>+86</w:t>
            </w:r>
            <w:r>
              <w:rPr>
                <w:rFonts w:hint="eastAsia" w:cs="Times New Roman"/>
                <w:bCs/>
                <w:sz w:val="20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2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Mobile: </w:t>
            </w:r>
            <w:r>
              <w:rPr>
                <w:rFonts w:hint="default" w:ascii="Times New Roman" w:hAnsi="Times New Roman" w:eastAsia="宋体" w:cs="Times New Roman"/>
                <w:bCs/>
                <w:color w:val="000000"/>
                <w:kern w:val="0"/>
                <w:sz w:val="20"/>
                <w:szCs w:val="22"/>
                <w:lang w:val="en-US" w:eastAsia="zh-CN" w:bidi="ar-SA"/>
              </w:rPr>
              <w:t xml:space="preserve">+86 </w:t>
            </w:r>
            <w:r>
              <w:rPr>
                <w:rFonts w:hint="default" w:ascii="Times New Roman" w:hAnsi="Times New Roman" w:eastAsia="宋体" w:cs="Times New Roman"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bCs/>
                <w:kern w:val="2"/>
                <w:sz w:val="20"/>
                <w:szCs w:val="22"/>
                <w:lang w:val="en-US" w:eastAsia="zh-CN" w:bidi="ar-SA"/>
              </w:rPr>
              <w:t>13718632874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right="-129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0"/>
                <w:szCs w:val="22"/>
                <w:lang w:val="it-IT" w:eastAsia="zh-CN" w:bidi="ar-SA"/>
              </w:rPr>
              <w:t>Email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:</w:t>
            </w:r>
            <w:r>
              <w:rPr>
                <w:rFonts w:hint="eastAsia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bookmarkStart w:id="1" w:name="_GoBack"/>
            <w:bookmarkEnd w:id="1"/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zcy@zhenweiexpo.com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</w:t>
            </w:r>
            <w:r>
              <w:rPr>
                <w:rFonts w:hint="eastAsia" w:cs="Times New Roman"/>
                <w:b/>
                <w:kern w:val="2"/>
                <w:sz w:val="20"/>
                <w:szCs w:val="22"/>
                <w:lang w:val="en-US" w:eastAsia="zh-CN" w:bidi="ar-SA"/>
              </w:rPr>
              <w:t>/tcp133@163.com</w:t>
            </w:r>
            <w:r>
              <w:rPr>
                <w:rFonts w:hint="default" w:ascii="Times New Roman" w:hAnsi="Times New Roman" w:eastAsia="宋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0"/>
                <w:szCs w:val="22"/>
                <w:lang w:val="it-IT" w:eastAsia="zh-CN" w:bidi="ar-SA"/>
              </w:rPr>
              <w:t xml:space="preserve">Contact: </w:t>
            </w:r>
            <w:r>
              <w:rPr>
                <w:rFonts w:hint="eastAsia" w:cs="Times New Roman"/>
                <w:b/>
                <w:color w:val="000000"/>
                <w:kern w:val="0"/>
                <w:sz w:val="20"/>
                <w:szCs w:val="22"/>
                <w:lang w:val="en-US" w:eastAsia="zh-CN" w:bidi="ar-SA"/>
              </w:rPr>
              <w:t>CathyZhang</w:t>
            </w:r>
          </w:p>
        </w:tc>
        <w:tc>
          <w:tcPr>
            <w:tcW w:w="5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  <w:t xml:space="preserve">Company Name: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b/>
                <w:kern w:val="2"/>
                <w:sz w:val="20"/>
                <w:szCs w:val="22"/>
                <w:lang w:val="it-IT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2"/>
                <w:sz w:val="20"/>
                <w:szCs w:val="22"/>
                <w:lang w:val="it-IT" w:eastAsia="zh-CN" w:bidi="ar-SA"/>
              </w:rPr>
              <w:t>Signature &amp; Stamp:</w:t>
            </w:r>
            <w:r>
              <w:rPr>
                <w:rFonts w:hint="default" w:ascii="Times New Roman" w:hAnsi="Times New Roman" w:eastAsia="宋体" w:cs="Times New Roman"/>
                <w:kern w:val="2"/>
                <w:sz w:val="20"/>
                <w:szCs w:val="22"/>
                <w:u w:val="single"/>
                <w:lang w:val="en-US" w:eastAsia="zh-CN" w:bidi="ar-SA"/>
              </w:rPr>
              <w:t xml:space="preserve">                            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left="0" w:leftChars="0" w:firstLine="0" w:firstLineChars="0"/>
        <w:jc w:val="both"/>
        <w:textAlignment w:val="auto"/>
        <w:rPr>
          <w:rFonts w:hint="default"/>
        </w:rPr>
      </w:pPr>
    </w:p>
    <w:sectPr>
      <w:pgSz w:w="11906" w:h="16838"/>
      <w:pgMar w:top="1157" w:right="1080" w:bottom="1157" w:left="108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5D98AA"/>
    <w:multiLevelType w:val="singleLevel"/>
    <w:tmpl w:val="865D98A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F78269D"/>
    <w:multiLevelType w:val="multilevel"/>
    <w:tmpl w:val="0F78269D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95135"/>
    <w:rsid w:val="00014465"/>
    <w:rsid w:val="00015E98"/>
    <w:rsid w:val="00016BC6"/>
    <w:rsid w:val="00020722"/>
    <w:rsid w:val="000426ED"/>
    <w:rsid w:val="0005033C"/>
    <w:rsid w:val="000514B9"/>
    <w:rsid w:val="00053E1F"/>
    <w:rsid w:val="000649D6"/>
    <w:rsid w:val="00073D40"/>
    <w:rsid w:val="000839A3"/>
    <w:rsid w:val="000A493D"/>
    <w:rsid w:val="000A7012"/>
    <w:rsid w:val="000C41B7"/>
    <w:rsid w:val="000C6B6C"/>
    <w:rsid w:val="000C78CE"/>
    <w:rsid w:val="000D7EEE"/>
    <w:rsid w:val="000F1116"/>
    <w:rsid w:val="00113BF3"/>
    <w:rsid w:val="001341BA"/>
    <w:rsid w:val="001435E8"/>
    <w:rsid w:val="00163DD2"/>
    <w:rsid w:val="00187E6C"/>
    <w:rsid w:val="001A2F99"/>
    <w:rsid w:val="001A2F9E"/>
    <w:rsid w:val="001A52F9"/>
    <w:rsid w:val="001C075B"/>
    <w:rsid w:val="001C57AD"/>
    <w:rsid w:val="002050FE"/>
    <w:rsid w:val="00215CB0"/>
    <w:rsid w:val="00232FF9"/>
    <w:rsid w:val="0023403F"/>
    <w:rsid w:val="00250D67"/>
    <w:rsid w:val="00252F04"/>
    <w:rsid w:val="00272EC8"/>
    <w:rsid w:val="002A4521"/>
    <w:rsid w:val="002A4F0F"/>
    <w:rsid w:val="002B1F3A"/>
    <w:rsid w:val="002D61DC"/>
    <w:rsid w:val="002E18A0"/>
    <w:rsid w:val="00333C05"/>
    <w:rsid w:val="003645DF"/>
    <w:rsid w:val="0036468F"/>
    <w:rsid w:val="0037389C"/>
    <w:rsid w:val="00374E85"/>
    <w:rsid w:val="00381096"/>
    <w:rsid w:val="003A28A8"/>
    <w:rsid w:val="003A64D5"/>
    <w:rsid w:val="003D260E"/>
    <w:rsid w:val="003E5BDD"/>
    <w:rsid w:val="004422DC"/>
    <w:rsid w:val="00451025"/>
    <w:rsid w:val="00451D9F"/>
    <w:rsid w:val="00453702"/>
    <w:rsid w:val="0047226B"/>
    <w:rsid w:val="004A3295"/>
    <w:rsid w:val="004A74AC"/>
    <w:rsid w:val="004B4C25"/>
    <w:rsid w:val="004D6681"/>
    <w:rsid w:val="00555714"/>
    <w:rsid w:val="005737E8"/>
    <w:rsid w:val="005D14F7"/>
    <w:rsid w:val="005F5960"/>
    <w:rsid w:val="00633E35"/>
    <w:rsid w:val="00662135"/>
    <w:rsid w:val="00671085"/>
    <w:rsid w:val="00675F1F"/>
    <w:rsid w:val="006A7E78"/>
    <w:rsid w:val="006C087D"/>
    <w:rsid w:val="006D0B1E"/>
    <w:rsid w:val="00727AFC"/>
    <w:rsid w:val="00730B32"/>
    <w:rsid w:val="00732FAF"/>
    <w:rsid w:val="007369B3"/>
    <w:rsid w:val="00737136"/>
    <w:rsid w:val="0075203E"/>
    <w:rsid w:val="00753EE6"/>
    <w:rsid w:val="00770FDC"/>
    <w:rsid w:val="008077A0"/>
    <w:rsid w:val="00832629"/>
    <w:rsid w:val="00832790"/>
    <w:rsid w:val="00833878"/>
    <w:rsid w:val="008554F4"/>
    <w:rsid w:val="00867365"/>
    <w:rsid w:val="00894AE6"/>
    <w:rsid w:val="008A228F"/>
    <w:rsid w:val="008D0631"/>
    <w:rsid w:val="009072F6"/>
    <w:rsid w:val="00947A4D"/>
    <w:rsid w:val="0097447A"/>
    <w:rsid w:val="009855A5"/>
    <w:rsid w:val="009D3DDE"/>
    <w:rsid w:val="009F1DDD"/>
    <w:rsid w:val="00A32B2C"/>
    <w:rsid w:val="00A344BD"/>
    <w:rsid w:val="00A35E68"/>
    <w:rsid w:val="00A44C85"/>
    <w:rsid w:val="00A521DD"/>
    <w:rsid w:val="00A53A64"/>
    <w:rsid w:val="00A67D40"/>
    <w:rsid w:val="00A82A1C"/>
    <w:rsid w:val="00AB7314"/>
    <w:rsid w:val="00B111D2"/>
    <w:rsid w:val="00B30828"/>
    <w:rsid w:val="00B512DB"/>
    <w:rsid w:val="00B7766C"/>
    <w:rsid w:val="00BC48DF"/>
    <w:rsid w:val="00BD4853"/>
    <w:rsid w:val="00BF7B84"/>
    <w:rsid w:val="00C03D00"/>
    <w:rsid w:val="00C17E88"/>
    <w:rsid w:val="00C2228B"/>
    <w:rsid w:val="00C53A7A"/>
    <w:rsid w:val="00C870F8"/>
    <w:rsid w:val="00CA0A86"/>
    <w:rsid w:val="00CA6CFC"/>
    <w:rsid w:val="00CB1EB4"/>
    <w:rsid w:val="00D03C68"/>
    <w:rsid w:val="00D25388"/>
    <w:rsid w:val="00D375B3"/>
    <w:rsid w:val="00D42A3D"/>
    <w:rsid w:val="00D54C08"/>
    <w:rsid w:val="00D725CE"/>
    <w:rsid w:val="00D77FC3"/>
    <w:rsid w:val="00D80657"/>
    <w:rsid w:val="00D812BD"/>
    <w:rsid w:val="00D95EEC"/>
    <w:rsid w:val="00DA5A89"/>
    <w:rsid w:val="00DB75C1"/>
    <w:rsid w:val="00DF5FC0"/>
    <w:rsid w:val="00DF6A39"/>
    <w:rsid w:val="00E11851"/>
    <w:rsid w:val="00E739B0"/>
    <w:rsid w:val="00EC2D28"/>
    <w:rsid w:val="00EC30E6"/>
    <w:rsid w:val="00ED7959"/>
    <w:rsid w:val="00EF60EB"/>
    <w:rsid w:val="00F13DA1"/>
    <w:rsid w:val="00F35126"/>
    <w:rsid w:val="00F3645B"/>
    <w:rsid w:val="00F5749D"/>
    <w:rsid w:val="00F7610F"/>
    <w:rsid w:val="00F82998"/>
    <w:rsid w:val="00FC3F98"/>
    <w:rsid w:val="00FE0667"/>
    <w:rsid w:val="00FE3657"/>
    <w:rsid w:val="01802C9E"/>
    <w:rsid w:val="019D73AC"/>
    <w:rsid w:val="020E6BA6"/>
    <w:rsid w:val="04C00A17"/>
    <w:rsid w:val="06EA1BDA"/>
    <w:rsid w:val="090B5543"/>
    <w:rsid w:val="0F16079E"/>
    <w:rsid w:val="127777A6"/>
    <w:rsid w:val="14AF76CB"/>
    <w:rsid w:val="1881137E"/>
    <w:rsid w:val="18EB0ED0"/>
    <w:rsid w:val="1AA2382E"/>
    <w:rsid w:val="1C894A0D"/>
    <w:rsid w:val="1CB430F6"/>
    <w:rsid w:val="20CC33B3"/>
    <w:rsid w:val="280A4B32"/>
    <w:rsid w:val="2BD6074F"/>
    <w:rsid w:val="2BDF21EC"/>
    <w:rsid w:val="2C3C60A9"/>
    <w:rsid w:val="2EEE0998"/>
    <w:rsid w:val="2FA774C5"/>
    <w:rsid w:val="304E7940"/>
    <w:rsid w:val="31EC5663"/>
    <w:rsid w:val="34425A0E"/>
    <w:rsid w:val="37DC60C0"/>
    <w:rsid w:val="3A1A4389"/>
    <w:rsid w:val="3A465B2C"/>
    <w:rsid w:val="45227235"/>
    <w:rsid w:val="45931671"/>
    <w:rsid w:val="46F30DEA"/>
    <w:rsid w:val="4DA1334D"/>
    <w:rsid w:val="4F610FE6"/>
    <w:rsid w:val="55E32702"/>
    <w:rsid w:val="58773629"/>
    <w:rsid w:val="59017307"/>
    <w:rsid w:val="5D1A6C78"/>
    <w:rsid w:val="5DF474C9"/>
    <w:rsid w:val="5EC073AC"/>
    <w:rsid w:val="5F675AEC"/>
    <w:rsid w:val="61DB4C28"/>
    <w:rsid w:val="654458BA"/>
    <w:rsid w:val="663B67EC"/>
    <w:rsid w:val="66A1004A"/>
    <w:rsid w:val="68DB3760"/>
    <w:rsid w:val="6B34522A"/>
    <w:rsid w:val="6C1D408F"/>
    <w:rsid w:val="714A76D4"/>
    <w:rsid w:val="73C3376E"/>
    <w:rsid w:val="745A5E80"/>
    <w:rsid w:val="74940C67"/>
    <w:rsid w:val="74C95135"/>
    <w:rsid w:val="74FD0AA2"/>
    <w:rsid w:val="7829772A"/>
    <w:rsid w:val="7C4A4A2C"/>
    <w:rsid w:val="7D6C2781"/>
    <w:rsid w:val="7FF8654D"/>
    <w:rsid w:val="FEDFB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firstLine="842"/>
      <w:jc w:val="center"/>
    </w:pPr>
    <w:rPr>
      <w:rFonts w:ascii="宋体" w:hAnsi="宋体" w:eastAsia="宋体" w:cs="Times New Roman"/>
      <w:b/>
      <w:w w:val="95"/>
      <w:kern w:val="2"/>
      <w:sz w:val="44"/>
      <w:szCs w:val="22"/>
      <w:lang w:val="en-US" w:eastAsia="zh-CN" w:bidi="ar-SA"/>
    </w:rPr>
  </w:style>
  <w:style w:type="paragraph" w:styleId="3">
    <w:name w:val="Body Text"/>
    <w:basedOn w:val="1"/>
    <w:link w:val="17"/>
    <w:qFormat/>
    <w:uiPriority w:val="0"/>
    <w:rPr>
      <w:rFonts w:eastAsia="黑体"/>
      <w:sz w:val="28"/>
      <w:szCs w:val="20"/>
    </w:rPr>
  </w:style>
  <w:style w:type="paragraph" w:styleId="4">
    <w:name w:val="Body Text Indent"/>
    <w:basedOn w:val="1"/>
    <w:qFormat/>
    <w:uiPriority w:val="0"/>
    <w:pPr>
      <w:spacing w:line="500" w:lineRule="exact"/>
      <w:ind w:firstLine="480"/>
    </w:pPr>
    <w:rPr>
      <w:rFonts w:ascii="仿宋_GB2312" w:eastAsia="方正书宋简体"/>
      <w:szCs w:val="20"/>
    </w:rPr>
  </w:style>
  <w:style w:type="paragraph" w:styleId="5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24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basedOn w:val="12"/>
    <w:unhideWhenUsed/>
    <w:qFormat/>
    <w:uiPriority w:val="99"/>
    <w:rPr>
      <w:color w:val="800080"/>
      <w:u w:val="single"/>
    </w:rPr>
  </w:style>
  <w:style w:type="character" w:styleId="15">
    <w:name w:val="Hyperlink"/>
    <w:unhideWhenUsed/>
    <w:qFormat/>
    <w:uiPriority w:val="0"/>
    <w:rPr>
      <w:color w:val="0000FF"/>
      <w:u w:val="single"/>
    </w:rPr>
  </w:style>
  <w:style w:type="character" w:customStyle="1" w:styleId="16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7">
    <w:name w:val="正文文本 字符"/>
    <w:link w:val="3"/>
    <w:qFormat/>
    <w:uiPriority w:val="0"/>
    <w:rPr>
      <w:rFonts w:eastAsia="黑体"/>
      <w:kern w:val="2"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1273</Words>
  <Characters>7808</Characters>
  <Lines>114</Lines>
  <Paragraphs>32</Paragraphs>
  <TotalTime>6</TotalTime>
  <ScaleCrop>false</ScaleCrop>
  <LinksUpToDate>false</LinksUpToDate>
  <CharactersWithSpaces>9908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2021-12-08T17:31:00Z</dcterms:created>
  <dc:creator>Rainbow虹✨</dc:creator>
  <cp:lastModifiedBy>Cathy</cp:lastModifiedBy>
  <dcterms:modified xsi:type="dcterms:W3CDTF">2022-04-14T01:38:53Z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8D3EC7BBA679457489AA6C3B31A8B51D</vt:lpwstr>
  </property>
</Properties>
</file>