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0288" behindDoc="0" locked="0" layoutInCell="1" allowOverlap="0">
            <wp:simplePos x="0" y="0"/>
            <wp:positionH relativeFrom="column">
              <wp:posOffset>5581650</wp:posOffset>
            </wp:positionH>
            <wp:positionV relativeFrom="paragraph">
              <wp:posOffset>-297180</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pPr>
                            <w:r>
                              <w:rPr>
                                <w:rFonts w:ascii="Arial" w:hAnsi="Arial" w:cs="Arial"/>
                                <w:b/>
                                <w:bCs/>
                                <w:sz w:val="24"/>
                              </w:rPr>
                              <w:t>To</w:t>
                            </w:r>
                            <w:r>
                              <w:rPr>
                                <w:rFonts w:hint="eastAsia" w:ascii="Arial" w:hAnsi="宋体" w:cs="Arial"/>
                                <w:b/>
                                <w:bCs/>
                                <w:sz w:val="24"/>
                              </w:rPr>
                              <w:t>:</w:t>
                            </w:r>
                            <w:r>
                              <w:rPr>
                                <w:rFonts w:ascii="Arial" w:hAnsi="宋体" w:cs="Arial"/>
                                <w:b/>
                                <w:bCs/>
                                <w:sz w:val="24"/>
                              </w:rPr>
                              <w:t xml:space="preserve"> 市场部</w:t>
                            </w:r>
                            <w:r>
                              <w:rPr>
                                <w:rFonts w:hint="eastAsia" w:ascii="Arial" w:hAnsi="宋体" w:cs="Arial"/>
                                <w:b/>
                                <w:bCs/>
                                <w:sz w:val="24"/>
                              </w:rPr>
                              <w:t>经理/</w:t>
                            </w:r>
                            <w:r>
                              <w:rPr>
                                <w:rFonts w:ascii="Arial" w:hAnsi="宋体" w:cs="Arial"/>
                                <w:b/>
                                <w:bCs/>
                                <w:sz w:val="24"/>
                              </w:rPr>
                              <w:t>总</w:t>
                            </w:r>
                            <w:r>
                              <w:rPr>
                                <w:rFonts w:hint="eastAsia" w:ascii="Arial" w:hAnsi="宋体" w:cs="Arial"/>
                                <w:b/>
                                <w:bCs/>
                                <w:sz w:val="24"/>
                              </w:rPr>
                              <w:t xml:space="preserve">经理               </w:t>
                            </w:r>
                            <w:r>
                              <w:rPr>
                                <w:rFonts w:ascii="Arial" w:hAnsi="宋体" w:cs="Arial"/>
                                <w:b/>
                                <w:bCs/>
                                <w:sz w:val="24"/>
                              </w:rPr>
                              <w:t xml:space="preserve">        </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：张昊</w:t>
                            </w:r>
                            <w:r>
                              <w:rPr>
                                <w:rFonts w:ascii="Arial" w:hAnsi="宋体" w:cs="Arial"/>
                                <w:b/>
                                <w:bCs/>
                                <w:sz w:val="24"/>
                              </w:rPr>
                              <w:t>135 2192 0416</w:t>
                            </w:r>
                            <w:r>
                              <w:rPr>
                                <w:rFonts w:hint="eastAsia" w:ascii="Arial" w:hAnsi="宋体" w:cs="Arial"/>
                                <w:b/>
                                <w:bCs/>
                                <w:sz w:val="24"/>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1312;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pPr>
                      <w:r>
                        <w:rPr>
                          <w:rFonts w:ascii="Arial" w:hAnsi="Arial" w:cs="Arial"/>
                          <w:b/>
                          <w:bCs/>
                          <w:sz w:val="24"/>
                        </w:rPr>
                        <w:t>To</w:t>
                      </w:r>
                      <w:r>
                        <w:rPr>
                          <w:rFonts w:hint="eastAsia" w:ascii="Arial" w:hAnsi="宋体" w:cs="Arial"/>
                          <w:b/>
                          <w:bCs/>
                          <w:sz w:val="24"/>
                        </w:rPr>
                        <w:t>:</w:t>
                      </w:r>
                      <w:r>
                        <w:rPr>
                          <w:rFonts w:ascii="Arial" w:hAnsi="宋体" w:cs="Arial"/>
                          <w:b/>
                          <w:bCs/>
                          <w:sz w:val="24"/>
                        </w:rPr>
                        <w:t xml:space="preserve"> 市场部</w:t>
                      </w:r>
                      <w:r>
                        <w:rPr>
                          <w:rFonts w:hint="eastAsia" w:ascii="Arial" w:hAnsi="宋体" w:cs="Arial"/>
                          <w:b/>
                          <w:bCs/>
                          <w:sz w:val="24"/>
                        </w:rPr>
                        <w:t>经理/</w:t>
                      </w:r>
                      <w:r>
                        <w:rPr>
                          <w:rFonts w:ascii="Arial" w:hAnsi="宋体" w:cs="Arial"/>
                          <w:b/>
                          <w:bCs/>
                          <w:sz w:val="24"/>
                        </w:rPr>
                        <w:t>总</w:t>
                      </w:r>
                      <w:r>
                        <w:rPr>
                          <w:rFonts w:hint="eastAsia" w:ascii="Arial" w:hAnsi="宋体" w:cs="Arial"/>
                          <w:b/>
                          <w:bCs/>
                          <w:sz w:val="24"/>
                        </w:rPr>
                        <w:t xml:space="preserve">经理               </w:t>
                      </w:r>
                      <w:r>
                        <w:rPr>
                          <w:rFonts w:ascii="Arial" w:hAnsi="宋体" w:cs="Arial"/>
                          <w:b/>
                          <w:bCs/>
                          <w:sz w:val="24"/>
                        </w:rPr>
                        <w:t xml:space="preserve">        </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：张昊</w:t>
                      </w:r>
                      <w:r>
                        <w:rPr>
                          <w:rFonts w:ascii="Arial" w:hAnsi="宋体" w:cs="Arial"/>
                          <w:b/>
                          <w:bCs/>
                          <w:sz w:val="24"/>
                        </w:rPr>
                        <w:t>135 2192 0416</w:t>
                      </w:r>
                      <w:r>
                        <w:rPr>
                          <w:rFonts w:hint="eastAsia" w:ascii="Arial" w:hAnsi="宋体" w:cs="Arial"/>
                          <w:b/>
                          <w:bCs/>
                          <w:sz w:val="24"/>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cs="宋体"/>
          <w:sz w:val="24"/>
        </w:rPr>
      </w:pPr>
    </w:p>
    <w:p>
      <w:pPr>
        <w:spacing w:line="360" w:lineRule="auto"/>
        <w:jc w:val="center"/>
        <w:rPr>
          <w:rFonts w:ascii="Arial" w:hAnsi="Arial" w:cs="Arial"/>
        </w:rPr>
      </w:pPr>
      <w:r>
        <w:rPr>
          <w:rFonts w:ascii="宋体" w:hAnsi="宋体" w:cs="宋体"/>
          <w:sz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ascii="黑体" w:hAnsi="宋体" w:eastAsia="黑体" w:cs="Arial"/>
          <w:b/>
          <w:bCs/>
          <w:spacing w:val="20"/>
          <w:sz w:val="40"/>
          <w:szCs w:val="40"/>
        </w:rPr>
      </w:pPr>
      <w:r>
        <w:rPr>
          <w:rFonts w:hint="eastAsia" w:ascii="黑体" w:hAnsi="宋体" w:eastAsia="黑体" w:cs="Arial"/>
          <w:b/>
          <w:bCs/>
          <w:spacing w:val="20"/>
          <w:sz w:val="40"/>
          <w:szCs w:val="40"/>
        </w:rPr>
        <w:t>2022中国（成都）国际石油天然气技术装备展览会</w:t>
      </w:r>
    </w:p>
    <w:p>
      <w:pPr>
        <w:pStyle w:val="4"/>
        <w:spacing w:line="360" w:lineRule="auto"/>
        <w:ind w:firstLine="0"/>
        <w:jc w:val="center"/>
        <w:rPr>
          <w:rFonts w:ascii="Arial" w:hAnsi="Arial" w:eastAsia="宋体" w:cs="Arial"/>
        </w:rPr>
      </w:pPr>
      <w:r>
        <w:rPr>
          <w:rFonts w:hint="eastAsia" w:ascii="Arial" w:hAnsi="Arial" w:eastAsia="宋体" w:cs="Arial"/>
        </w:rPr>
        <w:t xml:space="preserve">2022 China (Chengdu) International Petroleum &amp; </w:t>
      </w:r>
      <w:r>
        <w:rPr>
          <w:rFonts w:hint="eastAsia" w:ascii="Arial" w:hAnsi="Arial" w:cs="Arial"/>
        </w:rPr>
        <w:t>Natural Gas</w:t>
      </w:r>
      <w:r>
        <w:rPr>
          <w:rFonts w:hint="eastAsia" w:ascii="Arial" w:hAnsi="Arial" w:eastAsia="宋体" w:cs="Arial"/>
        </w:rPr>
        <w:t xml:space="preserve">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2336;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ind w:firstLine="1124" w:firstLineChars="400"/>
        <w:rPr>
          <w:b/>
          <w:bCs/>
          <w:sz w:val="28"/>
          <w:szCs w:val="36"/>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rPr>
        <w:t xml:space="preserve">       成都世纪城新国际会展中心</w:t>
      </w:r>
    </w:p>
    <w:p>
      <w:pPr>
        <w:spacing w:line="320" w:lineRule="exact"/>
        <w:rPr>
          <w:rFonts w:ascii="Arial" w:hAnsi="Arial" w:cs="Arial"/>
          <w:b/>
          <w:bCs/>
          <w:sz w:val="28"/>
        </w:rPr>
      </w:pPr>
    </w:p>
    <w:p>
      <w:pPr>
        <w:spacing w:line="440" w:lineRule="exact"/>
        <w:rPr>
          <w:rFonts w:asciiTheme="minorEastAsia" w:hAnsiTheme="minorEastAsia" w:eastAsiaTheme="minorEastAsia" w:cstheme="minorEastAsia"/>
          <w:b/>
          <w:bCs/>
          <w:spacing w:val="20"/>
          <w:szCs w:val="21"/>
        </w:rPr>
      </w:pPr>
    </w:p>
    <w:p>
      <w:pPr>
        <w:spacing w:line="360" w:lineRule="auto"/>
        <w:jc w:val="center"/>
        <w:rPr>
          <w:rFonts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3360"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firstLine="0" w:firstLineChars="0"/>
      </w:pPr>
    </w:p>
    <w:p>
      <w:pPr>
        <w:spacing w:line="360" w:lineRule="auto"/>
        <w:rPr>
          <w:rFonts w:ascii="微软雅黑" w:hAnsi="微软雅黑" w:eastAsia="微软雅黑"/>
          <w:b/>
          <w:sz w:val="22"/>
          <w:szCs w:val="22"/>
        </w:rPr>
      </w:pPr>
    </w:p>
    <w:p>
      <w:pPr>
        <w:spacing w:line="360" w:lineRule="auto"/>
        <w:rPr>
          <w:rFonts w:ascii="微软雅黑" w:hAnsi="微软雅黑" w:eastAsia="微软雅黑"/>
          <w:b/>
          <w:sz w:val="22"/>
          <w:szCs w:val="22"/>
        </w:rPr>
      </w:pPr>
    </w:p>
    <w:p>
      <w:pPr>
        <w:spacing w:line="360" w:lineRule="auto"/>
        <w:rPr>
          <w:rFonts w:ascii="微软雅黑" w:hAnsi="微软雅黑" w:eastAsia="微软雅黑"/>
          <w:b/>
          <w:sz w:val="22"/>
          <w:szCs w:val="22"/>
        </w:rPr>
      </w:pPr>
      <w:r>
        <w:rPr>
          <w:rFonts w:hint="eastAsia" w:ascii="微软雅黑" w:hAnsi="微软雅黑" w:eastAsia="微软雅黑"/>
          <w:b/>
          <w:sz w:val="22"/>
          <w:szCs w:val="22"/>
        </w:rPr>
        <w:t>行业盛会，打造油气领域创新高地</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西南油气资源在我国油气行业的地位历来举足轻重，2021年12月2日，蜀南气矿年产油气当量突破千万吨，达到1000.8万吨。“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2022年</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11</w:t>
      </w:r>
      <w:r>
        <w:rPr>
          <w:rFonts w:hint="eastAsia" w:asciiTheme="minorEastAsia" w:hAnsiTheme="minorEastAsia" w:eastAsiaTheme="minorEastAsia" w:cstheme="minorEastAsia"/>
          <w:szCs w:val="21"/>
        </w:rPr>
        <w:t>日，中国（成都）国际石油石化技术装备展览会（cippe成都石油展）将在成都世纪城新国际会展中心举办，总览面积30,000平方米，来自全国各地区的400家企业将亮相展会现场，预计吸引国内外2万人次的专业观众到场参观。</w:t>
      </w:r>
    </w:p>
    <w:p>
      <w:pPr>
        <w:spacing w:line="360" w:lineRule="auto"/>
        <w:rPr>
          <w:rFonts w:ascii="微软雅黑" w:hAnsi="微软雅黑" w:eastAsia="微软雅黑"/>
          <w:b/>
          <w:sz w:val="22"/>
          <w:szCs w:val="22"/>
        </w:rPr>
      </w:pPr>
      <w:r>
        <w:rPr>
          <w:rFonts w:hint="eastAsia" w:ascii="微软雅黑" w:hAnsi="微软雅黑" w:eastAsia="微软雅黑"/>
          <w:b/>
          <w:sz w:val="22"/>
          <w:szCs w:val="22"/>
        </w:rPr>
        <w:t>同期论坛，促进前沿技术深入交流</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展会同期举行“2022石油石化产业高峰论坛”，打造西部石油行业高品质峰会，将邀请行业协会、石油石化装备制造企业、行业科研院所、行业权威媒体等业界大咖齐聚一堂，探讨行业热点及痛点，把脉行业发展趋势，实现资源、技术、信息、科技成果有效对接。</w:t>
      </w:r>
    </w:p>
    <w:p>
      <w:pPr>
        <w:spacing w:line="360" w:lineRule="auto"/>
        <w:rPr>
          <w:rFonts w:ascii="微软雅黑" w:hAnsi="微软雅黑" w:eastAsia="微软雅黑"/>
          <w:b/>
          <w:sz w:val="22"/>
          <w:szCs w:val="22"/>
        </w:rPr>
      </w:pPr>
      <w:r>
        <w:rPr>
          <w:rFonts w:hint="eastAsia" w:ascii="微软雅黑" w:hAnsi="微软雅黑" w:eastAsia="微软雅黑"/>
          <w:b/>
          <w:sz w:val="22"/>
          <w:szCs w:val="22"/>
        </w:rPr>
        <w:t>采购活动，搭建高效供求交易平台</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rPr>
        <w:t>展会联动，全力保障行业专业观众</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rPr>
        <w:t>品牌传播，优质媒体助力全程报道</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ascii="Arial" w:hAnsi="宋体" w:cs="Arial"/>
          <w:b/>
          <w:bCs/>
          <w:sz w:val="22"/>
          <w:szCs w:val="22"/>
          <w:shd w:val="pct10" w:color="auto" w:fill="FFFFFF"/>
        </w:rPr>
      </w:pPr>
    </w:p>
    <w:p>
      <w:pPr>
        <w:spacing w:line="480" w:lineRule="auto"/>
        <w:rPr>
          <w:rFonts w:ascii="Arial" w:hAnsi="宋体" w:cs="Arial"/>
          <w:b/>
          <w:bCs/>
          <w:sz w:val="22"/>
          <w:szCs w:val="22"/>
          <w:shd w:val="pct10" w:color="auto" w:fill="FFFFFF"/>
        </w:rPr>
      </w:pPr>
    </w:p>
    <w:p>
      <w:pPr>
        <w:spacing w:line="480" w:lineRule="auto"/>
        <w:rPr>
          <w:rFonts w:ascii="Arial" w:hAnsi="宋体" w:cs="Arial"/>
          <w:b/>
          <w:bCs/>
          <w:sz w:val="22"/>
          <w:szCs w:val="22"/>
          <w:shd w:val="pct10" w:color="auto" w:fill="FFFFFF"/>
        </w:rPr>
      </w:pPr>
      <w:r>
        <w:rPr>
          <w:rFonts w:hint="eastAsia" w:ascii="Arial" w:hAnsi="宋体" w:cs="Arial"/>
          <w:b/>
          <w:bCs/>
          <w:sz w:val="22"/>
          <w:szCs w:val="22"/>
          <w:shd w:val="pct10" w:color="auto" w:fill="FFFFFF"/>
        </w:rPr>
        <w:t>展会日程：</w:t>
      </w:r>
    </w:p>
    <w:p>
      <w:pPr>
        <w:spacing w:line="4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报到布展：2022年</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 xml:space="preserve">日 </w:t>
      </w:r>
    </w:p>
    <w:p>
      <w:pPr>
        <w:spacing w:line="4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展示交易：2022年</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11</w:t>
      </w:r>
      <w:r>
        <w:rPr>
          <w:rFonts w:hint="eastAsia" w:asciiTheme="minorEastAsia" w:hAnsiTheme="minorEastAsia" w:eastAsiaTheme="minorEastAsia" w:cstheme="minorEastAsia"/>
          <w:szCs w:val="21"/>
        </w:rPr>
        <w:t xml:space="preserve">日 </w:t>
      </w:r>
    </w:p>
    <w:p>
      <w:pPr>
        <w:spacing w:line="4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闭幕撤展：2022年</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11</w:t>
      </w:r>
      <w:r>
        <w:rPr>
          <w:rFonts w:hint="eastAsia" w:asciiTheme="minorEastAsia" w:hAnsiTheme="minorEastAsia" w:eastAsiaTheme="minorEastAsia" w:cstheme="minorEastAsia"/>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cs="Arial" w:asciiTheme="minorEastAsia" w:hAnsiTheme="minorEastAsia" w:eastAsiaTheme="minorEastAsia"/>
                <w:color w:val="000000" w:themeColor="text1"/>
                <w:sz w:val="20"/>
                <w:szCs w:val="20"/>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完井技术与装备</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海洋工程技术与装备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天然气技术与装备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油气田地面工程技术及装备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14:textFill>
                  <w14:solidFill>
                    <w14:schemeClr w14:val="tx1"/>
                  </w14:solidFill>
                </w14:textFill>
              </w:rPr>
              <w:t>与</w:t>
            </w:r>
            <w:r>
              <w:rPr>
                <w:rFonts w:cs="Arial" w:asciiTheme="minorEastAsia" w:hAnsiTheme="minorEastAsia" w:eastAsiaTheme="minorEastAsia"/>
                <w:color w:val="000000" w:themeColor="text1"/>
                <w:sz w:val="20"/>
                <w:szCs w:val="20"/>
                <w14:textFill>
                  <w14:solidFill>
                    <w14:schemeClr w14:val="tx1"/>
                  </w14:solidFill>
                </w14:textFill>
              </w:rPr>
              <w:t>设备</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管道非开挖技术与装备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14:textFill>
                  <w14:solidFill>
                    <w14:schemeClr w14:val="tx1"/>
                  </w14:solidFill>
                </w14:textFill>
              </w:rPr>
              <w:t>、</w:t>
            </w:r>
            <w:r>
              <w:rPr>
                <w:rFonts w:cs="Arial" w:asciiTheme="minorEastAsia" w:hAnsiTheme="minorEastAsia" w:eastAsiaTheme="minorEastAsia"/>
                <w:color w:val="000000" w:themeColor="text1"/>
                <w:sz w:val="20"/>
                <w:szCs w:val="20"/>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油气储运技术与设备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加油加气站设备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0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环保、节能技术设备</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消防、预警技术设备与安全防护产品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包装/密封/垫圈/紧固件/轴承</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油气数字化解决方案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通信与信息技术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氢能技术与装备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0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认证、咨询服务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jc w:val="left"/>
            </w:pPr>
            <w:r>
              <w:rPr>
                <w:rFonts w:hint="eastAsia"/>
              </w:rPr>
              <w:t>国内展区：RMB12000元/标准展位（9㎡/个）</w:t>
            </w:r>
          </w:p>
          <w:p>
            <w:pPr>
              <w:widowControl/>
              <w:jc w:val="left"/>
            </w:pPr>
            <w:r>
              <w:rPr>
                <w:rFonts w:hint="eastAsia"/>
              </w:rPr>
              <w:t>精装展区：RMB16800元/标准展位（9㎡/个）</w:t>
            </w:r>
          </w:p>
          <w:p>
            <w:pPr>
              <w:widowControl/>
              <w:jc w:val="left"/>
            </w:pPr>
            <w:r>
              <w:rPr>
                <w:rFonts w:hint="eastAsia"/>
              </w:rPr>
              <w:t>国际展区：RMB21800元/标准展位（9㎡/个）</w:t>
            </w:r>
          </w:p>
          <w:p>
            <w:pPr>
              <w:pStyle w:val="2"/>
              <w:ind w:firstLine="200"/>
            </w:pPr>
            <w:r>
              <w:rPr>
                <w:rFonts w:hint="eastAsia" w:eastAsia="宋体"/>
                <w:sz w:val="20"/>
              </w:rPr>
              <w:t>双开位置加收20%开口费。</w:t>
            </w:r>
          </w:p>
        </w:tc>
        <w:tc>
          <w:tcPr>
            <w:tcW w:w="4485" w:type="dxa"/>
          </w:tcPr>
          <w:p>
            <w:pPr>
              <w:widowControl/>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 xml:space="preserve">◆地毯            ◆三面围板   </w:t>
            </w:r>
          </w:p>
          <w:p>
            <w:pPr>
              <w:widowControl/>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 xml:space="preserve">◆公司名称楣板    ◆咨询桌一张   </w:t>
            </w:r>
          </w:p>
          <w:p>
            <w:pPr>
              <w:widowControl/>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        ◆射灯两盏</w:t>
            </w:r>
          </w:p>
          <w:p>
            <w:pPr>
              <w:widowControl/>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 xml:space="preserve">◆电源插座一个  </w:t>
            </w: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jc w:val="center"/>
              <w:rPr>
                <w:rFonts w:asciiTheme="minorEastAsia" w:hAnsiTheme="minorEastAsia" w:eastAsiaTheme="minorEastAsia" w:cstheme="minorEastAsia"/>
                <w:sz w:val="20"/>
                <w:szCs w:val="20"/>
                <w:shd w:val="clear" w:color="auto" w:fill="FFFFFF"/>
              </w:rPr>
            </w:pPr>
          </w:p>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jc w:val="left"/>
              <w:rPr>
                <w:sz w:val="20"/>
                <w:szCs w:val="20"/>
              </w:rPr>
            </w:pPr>
            <w:r>
              <w:rPr>
                <w:rFonts w:hint="eastAsia"/>
                <w:sz w:val="20"/>
                <w:szCs w:val="20"/>
              </w:rPr>
              <w:t>国内展区：RMB1200元/㎡（36平米起租）</w:t>
            </w:r>
          </w:p>
          <w:p>
            <w:pPr>
              <w:widowControl/>
              <w:jc w:val="left"/>
              <w:rPr>
                <w:sz w:val="20"/>
                <w:szCs w:val="20"/>
              </w:rPr>
            </w:pPr>
            <w:r>
              <w:rPr>
                <w:rFonts w:hint="eastAsia"/>
                <w:sz w:val="20"/>
                <w:szCs w:val="20"/>
              </w:rPr>
              <w:t>国际展区：RMB2180元/㎡</w:t>
            </w:r>
          </w:p>
        </w:tc>
        <w:tc>
          <w:tcPr>
            <w:tcW w:w="4485" w:type="dxa"/>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1,200元/人</w:t>
            </w:r>
          </w:p>
        </w:tc>
        <w:tc>
          <w:tcPr>
            <w:tcW w:w="4485" w:type="dxa"/>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jc w:val="center"/>
              <w:rPr>
                <w:rFonts w:asciiTheme="minorEastAsia" w:hAnsiTheme="minorEastAsia" w:eastAsiaTheme="minorEastAsia" w:cstheme="minorEastAsia"/>
                <w:sz w:val="20"/>
                <w:szCs w:val="20"/>
                <w:shd w:val="clear" w:color="auto" w:fill="FFFFFF"/>
              </w:rPr>
            </w:pPr>
          </w:p>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jc w:val="left"/>
              <w:rPr>
                <w:rFonts w:asciiTheme="minorEastAsia" w:hAnsiTheme="minorEastAsia" w:eastAsiaTheme="minorEastAsia" w:cstheme="minorEastAsia"/>
                <w:color w:val="000000" w:themeColor="text1"/>
                <w:sz w:val="20"/>
                <w:szCs w:val="20"/>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封面：￥25,000元  </w:t>
            </w: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封底： ￥20,000元 </w:t>
            </w:r>
          </w:p>
          <w:p>
            <w:pPr>
              <w:widowControl/>
              <w:jc w:val="left"/>
              <w:rPr>
                <w:rFonts w:asciiTheme="minorEastAsia" w:hAnsiTheme="minorEastAsia" w:eastAsiaTheme="minorEastAsia" w:cstheme="minorEastAsia"/>
                <w:color w:val="000000" w:themeColor="text1"/>
                <w:sz w:val="20"/>
                <w:szCs w:val="20"/>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封二：￥15,000元  </w:t>
            </w: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封三：￥15,000元</w:t>
            </w: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扉页：￥18,000元  </w:t>
            </w: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彩色内页：￥8,000元 </w:t>
            </w:r>
          </w:p>
        </w:tc>
        <w:tc>
          <w:tcPr>
            <w:tcW w:w="4485" w:type="dxa"/>
          </w:tcPr>
          <w:p>
            <w:pPr>
              <w:widowControl/>
              <w:jc w:val="left"/>
              <w:rPr>
                <w:rFonts w:asciiTheme="minorEastAsia" w:hAnsiTheme="minorEastAsia" w:eastAsiaTheme="minorEastAsia" w:cstheme="minorEastAsia"/>
                <w:sz w:val="20"/>
                <w:szCs w:val="20"/>
                <w:shd w:val="clear" w:color="auto" w:fill="FFFFFF"/>
              </w:rPr>
            </w:pP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 xml:space="preserve">技术讲座（会议室）： </w:t>
            </w:r>
            <w:r>
              <w:rPr>
                <w:rFonts w:hint="eastAsia" w:asciiTheme="minorEastAsia" w:hAnsiTheme="minorEastAsia" w:eastAsiaTheme="minorEastAsia" w:cstheme="minorEastAsia"/>
                <w:color w:val="000000" w:themeColor="text1"/>
                <w:sz w:val="20"/>
                <w:szCs w:val="20"/>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15,000元/场</w:t>
            </w:r>
          </w:p>
        </w:tc>
        <w:tc>
          <w:tcPr>
            <w:tcW w:w="4485" w:type="dxa"/>
          </w:tcPr>
          <w:p>
            <w:pPr>
              <w:widowControl/>
              <w:jc w:val="left"/>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《参展商手册》将于2022年</w:t>
      </w:r>
      <w:r>
        <w:rPr>
          <w:rFonts w:hint="eastAsia" w:cs="Arial" w:asciiTheme="minorEastAsia" w:hAnsiTheme="minorEastAsia" w:eastAsiaTheme="minorEastAsia"/>
          <w:szCs w:val="21"/>
          <w:lang w:val="en-US" w:eastAsia="zh-CN"/>
        </w:rPr>
        <w:t>8</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4384;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5408" behindDoc="1" locked="0" layoutInCell="1" allowOverlap="1">
            <wp:simplePos x="0" y="0"/>
            <wp:positionH relativeFrom="column">
              <wp:posOffset>-70485</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cs="Arial" w:asciiTheme="minorEastAsia" w:hAnsiTheme="minorEastAsia" w:eastAsiaTheme="minorEastAsia"/>
          <w:szCs w:val="21"/>
        </w:rPr>
      </w:pP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rPr>
        <w:t xml:space="preserve">010-5617 6963   </w:t>
      </w:r>
      <w:r>
        <w:rPr>
          <w:rFonts w:cs="Arial" w:asciiTheme="minorEastAsia" w:hAnsiTheme="minorEastAsia" w:eastAsiaTheme="minorEastAsia"/>
          <w:szCs w:val="21"/>
        </w:rPr>
        <w:t xml:space="preserve">      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 xml:space="preserve">5617 6998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rPr>
        <w:t>zhanghao</w:t>
      </w:r>
      <w:r>
        <w:t>@zhenweiexpo.com</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：张昊 135</w:t>
      </w:r>
      <w:r>
        <w:rPr>
          <w:rFonts w:cs="Arial" w:asciiTheme="minorEastAsia" w:hAnsiTheme="minorEastAsia" w:eastAsiaTheme="minorEastAsia"/>
          <w:szCs w:val="21"/>
        </w:rPr>
        <w:t xml:space="preserve"> </w:t>
      </w:r>
      <w:r>
        <w:rPr>
          <w:rFonts w:hint="eastAsia" w:cs="Arial" w:asciiTheme="minorEastAsia" w:hAnsiTheme="minorEastAsia" w:eastAsiaTheme="minorEastAsia"/>
          <w:szCs w:val="21"/>
        </w:rPr>
        <w:t>2192</w:t>
      </w:r>
      <w:r>
        <w:rPr>
          <w:rFonts w:cs="Arial" w:asciiTheme="minorEastAsia" w:hAnsiTheme="minorEastAsia" w:eastAsiaTheme="minorEastAsia"/>
          <w:szCs w:val="21"/>
        </w:rPr>
        <w:t xml:space="preserve"> </w:t>
      </w:r>
      <w:r>
        <w:rPr>
          <w:rFonts w:hint="eastAsia" w:cs="Arial" w:asciiTheme="minorEastAsia" w:hAnsiTheme="minorEastAsia" w:eastAsiaTheme="minorEastAsia"/>
          <w:szCs w:val="21"/>
        </w:rPr>
        <w:t>0416</w:t>
      </w:r>
      <w:r>
        <w:rPr>
          <w:rFonts w:hint="eastAsia" w:asciiTheme="minorEastAsia" w:hAnsiTheme="minorEastAsia" w:eastAsiaTheme="minorEastAsia" w:cstheme="minorEastAsia"/>
        </w:rPr>
        <w:t xml:space="preserve">   </w:t>
      </w:r>
    </w:p>
    <w:p>
      <w:pPr>
        <w:rPr>
          <w:rFonts w:ascii="Arial" w:hAnsi="Arial" w:cs="Arial"/>
          <w:sz w:val="28"/>
          <w:szCs w:val="28"/>
        </w:rPr>
      </w:pPr>
      <w:r>
        <w:rPr>
          <w:rFonts w:ascii="宋体" w:hAnsi="宋体" w:cs="宋体"/>
          <w:sz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atLeast"/>
        <w:jc w:val="center"/>
        <w:rPr>
          <w:rFonts w:ascii="Arial" w:hAnsi="Arial" w:cs="Arial"/>
          <w:b/>
          <w:sz w:val="28"/>
          <w:szCs w:val="28"/>
        </w:rPr>
      </w:pPr>
      <w:r>
        <w:rPr>
          <w:rFonts w:hint="eastAsia" w:ascii="Arial" w:hAnsi="Arial" w:cs="Arial"/>
          <w:b/>
          <w:sz w:val="28"/>
          <w:szCs w:val="28"/>
        </w:rPr>
        <w:t xml:space="preserve">2022中国（成都）国际石油天然气技术装备展览会 </w:t>
      </w:r>
      <w:r>
        <w:rPr>
          <w:rFonts w:ascii="Arial" w:hAnsi="Arial" w:cs="Arial"/>
          <w:b/>
          <w:sz w:val="28"/>
          <w:szCs w:val="28"/>
        </w:rPr>
        <w:t xml:space="preserve">              </w:t>
      </w:r>
      <w:r>
        <w:rPr>
          <w:rFonts w:hint="eastAsia" w:ascii="Arial" w:hAnsi="Arial" w:cs="Arial"/>
          <w:b/>
          <w:sz w:val="28"/>
          <w:szCs w:val="28"/>
        </w:rPr>
        <w:t>参展申请表</w:t>
      </w:r>
    </w:p>
    <w:p>
      <w:pPr>
        <w:spacing w:line="440" w:lineRule="atLeast"/>
        <w:ind w:firstLine="180" w:firstLineChars="100"/>
        <w:rPr>
          <w:rFonts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6248400" cy="9525"/>
                <wp:effectExtent l="0" t="0" r="19050" b="28575"/>
                <wp:wrapNone/>
                <wp:docPr id="7" name="直线 42"/>
                <wp:cNvGraphicFramePr/>
                <a:graphic xmlns:a="http://schemas.openxmlformats.org/drawingml/2006/main">
                  <a:graphicData uri="http://schemas.microsoft.com/office/word/2010/wordprocessingShape">
                    <wps:wsp>
                      <wps:cNvCnPr/>
                      <wps:spPr>
                        <a:xfrm>
                          <a:off x="0" y="0"/>
                          <a:ext cx="6248400" cy="95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75pt;height:0.75pt;width:492pt;z-index:251659264;mso-width-relative:page;mso-height-relative:page;" filled="f" stroked="t" coordsize="21600,21600" o:gfxdata="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4K4F9MAAAAEAQAADwAAAAAA&#10;AAABACAAAAAiAAAAZHJzL2Rvd25yZXYueG1sUEsBAhQAFAAAAAgAh07iQMmdCgffAQAA0wMAAA4A&#10;AAAAAAAAAQAgAAAAIg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440" w:lineRule="atLeast"/>
        <w:rPr>
          <w:rFonts w:eastAsia="微软雅黑" w:asciiTheme="minorEastAsia" w:hAnsiTheme="minorEastAsia" w:cstheme="minorEastAsia"/>
          <w:b/>
        </w:rPr>
      </w:pPr>
      <w:r>
        <w:rPr>
          <w:rFonts w:hint="eastAsia" w:asciiTheme="minorEastAsia" w:hAnsiTheme="minorEastAsia" w:eastAsiaTheme="minorEastAsia" w:cstheme="minorEastAsia"/>
          <w:b/>
          <w:spacing w:val="20"/>
          <w:szCs w:val="21"/>
        </w:rPr>
        <w:t xml:space="preserve">    </w:t>
      </w:r>
      <w:r>
        <w:rPr>
          <w:rFonts w:hint="eastAsia" w:asciiTheme="minorEastAsia" w:hAnsiTheme="minorEastAsia" w:eastAsiaTheme="minorEastAsia" w:cstheme="minorEastAsia"/>
          <w:b/>
        </w:rPr>
        <w:t>时间：2022年</w:t>
      </w:r>
      <w:r>
        <w:rPr>
          <w:rFonts w:hint="eastAsia" w:asciiTheme="minorEastAsia" w:hAnsiTheme="minorEastAsia" w:eastAsiaTheme="minorEastAsia" w:cstheme="minorEastAsia"/>
          <w:b/>
          <w:lang w:val="en-US" w:eastAsia="zh-CN"/>
        </w:rPr>
        <w:t>10</w:t>
      </w:r>
      <w:r>
        <w:rPr>
          <w:rFonts w:hint="eastAsia" w:asciiTheme="minorEastAsia" w:hAnsiTheme="minorEastAsia" w:eastAsiaTheme="minorEastAsia" w:cstheme="minorEastAsia"/>
          <w:b/>
        </w:rPr>
        <w:t>月</w:t>
      </w:r>
      <w:r>
        <w:rPr>
          <w:rFonts w:hint="eastAsia" w:asciiTheme="minorEastAsia" w:hAnsiTheme="minorEastAsia" w:eastAsiaTheme="minorEastAsia" w:cstheme="minorEastAsia"/>
          <w:b/>
          <w:lang w:val="en-US" w:eastAsia="zh-CN"/>
        </w:rPr>
        <w:t>9</w:t>
      </w:r>
      <w:r>
        <w:rPr>
          <w:rFonts w:hint="eastAsia" w:asciiTheme="minorEastAsia" w:hAnsiTheme="minorEastAsia" w:eastAsiaTheme="minorEastAsia" w:cstheme="minorEastAsia"/>
          <w:b/>
        </w:rPr>
        <w:t>日-</w:t>
      </w:r>
      <w:r>
        <w:rPr>
          <w:rFonts w:hint="eastAsia" w:asciiTheme="minorEastAsia" w:hAnsiTheme="minorEastAsia" w:eastAsiaTheme="minorEastAsia" w:cstheme="minorEastAsia"/>
          <w:b/>
          <w:lang w:val="en-US" w:eastAsia="zh-CN"/>
        </w:rPr>
        <w:t>11</w:t>
      </w:r>
      <w:r>
        <w:rPr>
          <w:rFonts w:hint="eastAsia" w:asciiTheme="minorEastAsia" w:hAnsiTheme="minorEastAsia" w:eastAsiaTheme="minorEastAsia" w:cstheme="minorEastAsia"/>
          <w:b/>
        </w:rPr>
        <w:t>日     地点：</w:t>
      </w:r>
      <w:r>
        <w:rPr>
          <w:rFonts w:hint="eastAsia" w:asciiTheme="minorEastAsia" w:hAnsiTheme="minorEastAsia" w:eastAsiaTheme="minorEastAsia" w:cstheme="minorEastAsia"/>
          <w:b/>
          <w:szCs w:val="21"/>
        </w:rPr>
        <w:t>成都世纪城新国际会展中</w:t>
      </w:r>
      <w:r>
        <w:rPr>
          <w:rFonts w:hint="eastAsia" w:asciiTheme="minorEastAsia" w:hAnsiTheme="minorEastAsia" w:eastAsiaTheme="minorEastAsia" w:cstheme="minorEastAsia"/>
          <w:sz w:val="21"/>
          <w:szCs w:val="21"/>
          <w:lang w:val="en-US" w:eastAsia="zh-CN"/>
        </w:rPr>
        <w:t>心</w:t>
      </w:r>
      <w:bookmarkStart w:id="4" w:name="_GoBack"/>
      <w:bookmarkEnd w:id="4"/>
      <w:r>
        <w:rPr>
          <w:rFonts w:hint="eastAsia" w:asciiTheme="minorEastAsia" w:hAnsiTheme="minorEastAsia" w:eastAsiaTheme="minorEastAsia" w:cstheme="minorEastAsia"/>
          <w:b/>
          <w:szCs w:val="21"/>
        </w:rPr>
        <w:t>(成都市天府大道中段1号</w:t>
      </w:r>
      <w:r>
        <w:rPr>
          <w:rFonts w:hint="eastAsia" w:ascii="微软雅黑" w:hAnsi="微软雅黑" w:eastAsia="微软雅黑" w:cs="微软雅黑"/>
          <w:b/>
          <w:color w:val="333333"/>
          <w:sz w:val="19"/>
          <w:szCs w:val="19"/>
          <w:shd w:val="clear" w:color="auto" w:fill="FFFFFF"/>
        </w:rPr>
        <w:t>)</w:t>
      </w:r>
    </w:p>
    <w:p>
      <w:pPr>
        <w:spacing w:line="440" w:lineRule="atLeast"/>
        <w:ind w:hanging="126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40" w:lineRule="atLeast"/>
        <w:ind w:hanging="1260"/>
        <w:rPr>
          <w:rFonts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40" w:lineRule="atLeast"/>
        <w:rPr>
          <w:rFonts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40" w:lineRule="atLeast"/>
        <w:rPr>
          <w:rFonts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40" w:lineRule="atLeas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40" w:lineRule="atLeast"/>
        <w:rPr>
          <w:rFonts w:asciiTheme="minorEastAsia" w:hAnsiTheme="minorEastAsia" w:eastAsiaTheme="minorEastAsia" w:cstheme="minorEastAsia"/>
          <w:sz w:val="22"/>
          <w:szCs w:val="22"/>
          <w:u w:val="single"/>
        </w:rPr>
      </w:pPr>
      <w:r>
        <w:rPr>
          <w:rFonts w:ascii="Arial" w:hAnsi="Arial" w:cs="Arial"/>
        </w:rPr>
        <w:drawing>
          <wp:anchor distT="0" distB="0" distL="114300" distR="114300" simplePos="0" relativeHeight="251666432" behindDoc="1" locked="0" layoutInCell="1" allowOverlap="1">
            <wp:simplePos x="0" y="0"/>
            <wp:positionH relativeFrom="column">
              <wp:posOffset>1966595</wp:posOffset>
            </wp:positionH>
            <wp:positionV relativeFrom="paragraph">
              <wp:posOffset>7488555</wp:posOffset>
            </wp:positionV>
            <wp:extent cx="1478915" cy="1485900"/>
            <wp:effectExtent l="0" t="0" r="6985" b="0"/>
            <wp:wrapNone/>
            <wp:docPr id="12" name="图片 12" descr="振威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振威印章"/>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78915" cy="1485900"/>
                    </a:xfrm>
                    <a:prstGeom prst="rect">
                      <a:avLst/>
                    </a:prstGeom>
                    <a:noFill/>
                    <a:ln>
                      <a:noFill/>
                    </a:ln>
                  </pic:spPr>
                </pic:pic>
              </a:graphicData>
            </a:graphic>
          </wp:anchor>
        </w:drawing>
      </w: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标准展位：国际展区：21,800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40" w:lineRule="atLeast"/>
        <w:rPr>
          <w:rFonts w:asciiTheme="minorEastAsia" w:hAnsiTheme="minorEastAsia" w:eastAsiaTheme="minorEastAsia" w:cstheme="minorEastAsia"/>
        </w:rPr>
      </w:pPr>
      <w:r>
        <w:rPr>
          <w:rFonts w:hint="eastAsia" w:asciiTheme="minorEastAsia" w:hAnsiTheme="minorEastAsia" w:eastAsiaTheme="minorEastAsia" w:cstheme="minorEastAsia"/>
          <w:bCs/>
        </w:rPr>
        <w:t xml:space="preserve">             国内展区：12,000元/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16,800元/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空 场 地：国际展区：2,180元/平米；</w:t>
      </w:r>
      <w:r>
        <w:rPr>
          <w:rFonts w:hint="eastAsia" w:asciiTheme="minorEastAsia" w:hAnsiTheme="minorEastAsia" w:eastAsiaTheme="minorEastAsia" w:cstheme="minorEastAsia"/>
          <w:bCs/>
        </w:rPr>
        <w:t>国内展区：1,200元/平米（36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40" w:lineRule="atLeast"/>
        <w:ind w:firstLine="315" w:firstLineChars="150"/>
        <w:rPr>
          <w:rFonts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40" w:lineRule="atLeas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￥25,000元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 xml:space="preserve">封  二  ￥15,000元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￥18,000元</w:t>
      </w:r>
    </w:p>
    <w:p>
      <w:pPr>
        <w:spacing w:line="440" w:lineRule="atLeas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 xml:space="preserve">封  底  ￥20,000元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 xml:space="preserve">封  三  ￥15,000元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￥8,000元</w:t>
      </w:r>
    </w:p>
    <w:p>
      <w:pPr>
        <w:numPr>
          <w:ilvl w:val="0"/>
          <w:numId w:val="1"/>
        </w:numPr>
        <w:spacing w:line="4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技术讲座：15,000元/场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40" w:lineRule="atLeast"/>
        <w:rPr>
          <w:rFonts w:asciiTheme="minorEastAsia" w:hAnsiTheme="minorEastAsia" w:eastAsiaTheme="minorEastAsia" w:cstheme="minorEastAsia"/>
        </w:rPr>
      </w:pPr>
      <w:r>
        <w:rPr>
          <w:rFonts w:hint="eastAsia" w:asciiTheme="minorEastAsia" w:hAnsiTheme="minorEastAsia" w:eastAsiaTheme="minorEastAsia" w:cstheme="minorEastAsia"/>
        </w:rPr>
        <w:t>会务费：1,200元/人（包括展会资料、午餐、水、答谢晚宴、礼品等）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atLeast"/>
        <w:rPr>
          <w:rFonts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40" w:lineRule="atLeast"/>
        <w:rPr>
          <w:rFonts w:ascii="Arial" w:hAnsi="宋体" w:cs="Arial"/>
          <w:b/>
          <w:bCs/>
        </w:rPr>
      </w:pPr>
      <w:r>
        <w:rPr>
          <w:rFonts w:ascii="Arial" w:hAnsi="Arial" w:cs="Arial"/>
        </w:rPr>
        <w:drawing>
          <wp:anchor distT="0" distB="0" distL="114300" distR="114300" simplePos="0" relativeHeight="251667456" behindDoc="1" locked="0" layoutInCell="1" allowOverlap="1">
            <wp:simplePos x="0" y="0"/>
            <wp:positionH relativeFrom="column">
              <wp:posOffset>1219200</wp:posOffset>
            </wp:positionH>
            <wp:positionV relativeFrom="paragraph">
              <wp:posOffset>608330</wp:posOffset>
            </wp:positionV>
            <wp:extent cx="1485900" cy="1495425"/>
            <wp:effectExtent l="0" t="0" r="0" b="952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85900" cy="1495425"/>
                    </a:xfrm>
                    <a:prstGeom prst="rect">
                      <a:avLst/>
                    </a:prstGeom>
                    <a:noFill/>
                  </pic:spPr>
                </pic:pic>
              </a:graphicData>
            </a:graphic>
          </wp:anchor>
        </w:drawing>
      </w: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1.报名后七个工作日之内请将参展费用一次性汇入组织单位指定帐户；2.组织单位以收到全部参展费用为最终确认参展商展出资格；3.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为保障2022年成都石油展搭建质量，请各参展商选择主办方指定搭建商搭建贵司展台，非指定搭建商不允许进入场馆</w:t>
      </w:r>
      <w:r>
        <w:rPr>
          <w:rFonts w:hint="eastAsia" w:asciiTheme="minorEastAsia" w:hAnsiTheme="minorEastAsia" w:eastAsiaTheme="minorEastAsia" w:cstheme="minorEastAsia"/>
          <w:kern w:val="0"/>
          <w:szCs w:val="21"/>
        </w:rPr>
        <w:t>。</w:t>
      </w:r>
    </w:p>
    <w:p>
      <w:pPr>
        <w:spacing w:line="440" w:lineRule="atLeast"/>
        <w:rPr>
          <w:rFonts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4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440" w:lineRule="atLeast"/>
        <w:ind w:firstLine="840" w:firstLineChars="400"/>
        <w:rPr>
          <w:rFonts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2336" behindDoc="0" locked="0" layoutInCell="1" allowOverlap="1">
                <wp:simplePos x="0" y="0"/>
                <wp:positionH relativeFrom="column">
                  <wp:posOffset>3867150</wp:posOffset>
                </wp:positionH>
                <wp:positionV relativeFrom="paragraph">
                  <wp:posOffset>184150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04.5pt;margin-top:14.5pt;height:0.4pt;width:171pt;z-index:251662336;mso-width-relative:page;mso-height-relative:page;" filled="f" stroked="t" coordsize="21600,21600" o:gfxdata="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0a9s9&#10;1gAAAAkBAAAPAAAAAAAAAAEAIAAAACIAAABkcnMvZG93bnJldi54bWxQSwECFAAUAAAACACHTuJA&#10;VGSLfOoBAADdAwAADgAAAAAAAAABACAAAAAlAQAAZHJzL2Uyb0RvYy54bWxQSwUGAAAAAAYABgBZ&#10;AQAAgQU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Cs w:val="21"/>
        </w:rPr>
        <w:t>企业大道III13号楼振威展览大厦</w:t>
      </w:r>
    </w:p>
    <w:p>
      <w:pPr>
        <w:spacing w:line="4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  话：010-5617</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 xml:space="preserve">6963                                       </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参展单位印鉴及负责人签名</w:t>
      </w:r>
    </w:p>
    <w:p>
      <w:pPr>
        <w:spacing w:line="4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E-mail：</w:t>
      </w:r>
      <w:bookmarkStart w:id="3" w:name="OLE_LINK1"/>
      <w:r>
        <w:rPr>
          <w:rFonts w:asciiTheme="minorEastAsia" w:hAnsiTheme="minorEastAsia" w:eastAsiaTheme="minorEastAsia" w:cstheme="minorEastAsia"/>
          <w:szCs w:val="21"/>
        </w:rPr>
        <w:fldChar w:fldCharType="begin"/>
      </w:r>
      <w:r>
        <w:rPr>
          <w:rFonts w:asciiTheme="minorEastAsia" w:hAnsiTheme="minorEastAsia" w:eastAsiaTheme="minorEastAsia" w:cstheme="minorEastAsia"/>
          <w:szCs w:val="21"/>
        </w:rPr>
        <w:instrText xml:space="preserve"> HYPERLINK "mailto:</w:instrText>
      </w:r>
      <w:r>
        <w:rPr>
          <w:rFonts w:hint="eastAsia" w:asciiTheme="minorEastAsia" w:hAnsiTheme="minorEastAsia" w:eastAsiaTheme="minorEastAsia" w:cstheme="minorEastAsia"/>
          <w:szCs w:val="21"/>
        </w:rPr>
        <w:instrText xml:space="preserve">zhanghao@zhenweiexpo.com</w:instrText>
      </w:r>
      <w:r>
        <w:rPr>
          <w:rFonts w:asciiTheme="minorEastAsia" w:hAnsiTheme="minorEastAsia" w:eastAsiaTheme="minorEastAsia" w:cstheme="minorEastAsia"/>
          <w:szCs w:val="21"/>
        </w:rPr>
        <w:instrText xml:space="preserve">" </w:instrText>
      </w:r>
      <w:r>
        <w:rPr>
          <w:rFonts w:asciiTheme="minorEastAsia" w:hAnsiTheme="minorEastAsia" w:eastAsiaTheme="minorEastAsia" w:cstheme="minorEastAsia"/>
          <w:szCs w:val="21"/>
        </w:rPr>
        <w:fldChar w:fldCharType="separate"/>
      </w:r>
      <w:r>
        <w:rPr>
          <w:rStyle w:val="13"/>
          <w:rFonts w:hint="eastAsia" w:asciiTheme="minorEastAsia" w:hAnsiTheme="minorEastAsia" w:eastAsiaTheme="minorEastAsia" w:cstheme="minorEastAsia"/>
          <w:szCs w:val="21"/>
        </w:rPr>
        <w:t>zhanghao@zhenweiexpo.com</w:t>
      </w:r>
      <w:r>
        <w:rPr>
          <w:rFonts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 xml:space="preserve">                                </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 xml:space="preserve">  年   月  </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 xml:space="preserve"> 日</w:t>
      </w:r>
      <w:bookmarkEnd w:id="3"/>
    </w:p>
    <w:p>
      <w:pPr>
        <w:spacing w:line="4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w:t>
      </w:r>
      <w:r>
        <w:rPr>
          <w:rFonts w:hint="eastAsia" w:asciiTheme="minorEastAsia" w:hAnsiTheme="minorEastAsia" w:eastAsiaTheme="minorEastAsia" w:cstheme="minorEastAsia"/>
          <w:b/>
          <w:szCs w:val="21"/>
        </w:rPr>
        <w:t>张昊</w:t>
      </w:r>
      <w:r>
        <w:rPr>
          <w:rFonts w:asciiTheme="minorEastAsia" w:hAnsiTheme="minorEastAsia" w:eastAsiaTheme="minorEastAsia" w:cstheme="minorEastAsia"/>
          <w:b/>
          <w:szCs w:val="21"/>
        </w:rPr>
        <w:t xml:space="preserve"> </w:t>
      </w:r>
      <w:r>
        <w:rPr>
          <w:rFonts w:hint="eastAsia" w:asciiTheme="minorEastAsia" w:hAnsiTheme="minorEastAsia" w:eastAsiaTheme="minorEastAsia" w:cstheme="minorEastAsia"/>
          <w:b/>
          <w:szCs w:val="21"/>
        </w:rPr>
        <w:t>135</w:t>
      </w:r>
      <w:r>
        <w:rPr>
          <w:rFonts w:asciiTheme="minorEastAsia" w:hAnsiTheme="minorEastAsia" w:eastAsiaTheme="minorEastAsia" w:cstheme="minorEastAsia"/>
          <w:b/>
          <w:szCs w:val="21"/>
        </w:rPr>
        <w:t xml:space="preserve"> </w:t>
      </w:r>
      <w:r>
        <w:rPr>
          <w:rFonts w:hint="eastAsia" w:asciiTheme="minorEastAsia" w:hAnsiTheme="minorEastAsia" w:eastAsiaTheme="minorEastAsia" w:cstheme="minorEastAsia"/>
          <w:b/>
          <w:szCs w:val="21"/>
        </w:rPr>
        <w:t>2192</w:t>
      </w:r>
      <w:r>
        <w:rPr>
          <w:rFonts w:asciiTheme="minorEastAsia" w:hAnsiTheme="minorEastAsia" w:eastAsiaTheme="minorEastAsia" w:cstheme="minorEastAsia"/>
          <w:b/>
          <w:szCs w:val="21"/>
        </w:rPr>
        <w:t xml:space="preserve"> </w:t>
      </w:r>
      <w:r>
        <w:rPr>
          <w:rFonts w:hint="eastAsia" w:asciiTheme="minorEastAsia" w:hAnsiTheme="minorEastAsia" w:eastAsiaTheme="minorEastAsia" w:cstheme="minorEastAsia"/>
          <w:b/>
          <w:szCs w:val="21"/>
        </w:rPr>
        <w:t>0416</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037BD8"/>
    <w:rsid w:val="002B747D"/>
    <w:rsid w:val="00501FAB"/>
    <w:rsid w:val="00885FD5"/>
    <w:rsid w:val="009665E2"/>
    <w:rsid w:val="00BB68D0"/>
    <w:rsid w:val="00CB1EB4"/>
    <w:rsid w:val="00D27099"/>
    <w:rsid w:val="00E04B5F"/>
    <w:rsid w:val="01802C9E"/>
    <w:rsid w:val="019D73AC"/>
    <w:rsid w:val="020E6BA6"/>
    <w:rsid w:val="090B5543"/>
    <w:rsid w:val="0CF631F3"/>
    <w:rsid w:val="0F16079E"/>
    <w:rsid w:val="127777A6"/>
    <w:rsid w:val="14AF76CB"/>
    <w:rsid w:val="1881137E"/>
    <w:rsid w:val="18EB0ED0"/>
    <w:rsid w:val="1AA2382E"/>
    <w:rsid w:val="1C836A68"/>
    <w:rsid w:val="1C894A0D"/>
    <w:rsid w:val="20CC33B3"/>
    <w:rsid w:val="280A4B32"/>
    <w:rsid w:val="2BD6074F"/>
    <w:rsid w:val="2BDF21EC"/>
    <w:rsid w:val="2C3C60A9"/>
    <w:rsid w:val="2EEE0998"/>
    <w:rsid w:val="2FA774C5"/>
    <w:rsid w:val="304E7940"/>
    <w:rsid w:val="31EC5663"/>
    <w:rsid w:val="34425A0E"/>
    <w:rsid w:val="37DC60C0"/>
    <w:rsid w:val="3A465B2C"/>
    <w:rsid w:val="45227235"/>
    <w:rsid w:val="46F30DEA"/>
    <w:rsid w:val="4DA1334D"/>
    <w:rsid w:val="4F610FE6"/>
    <w:rsid w:val="58773629"/>
    <w:rsid w:val="59017307"/>
    <w:rsid w:val="5D1A6C78"/>
    <w:rsid w:val="5DF474C9"/>
    <w:rsid w:val="5EC073AC"/>
    <w:rsid w:val="5F675AEC"/>
    <w:rsid w:val="61DB4C28"/>
    <w:rsid w:val="663B67EC"/>
    <w:rsid w:val="68DB3760"/>
    <w:rsid w:val="6B34522A"/>
    <w:rsid w:val="6C1D408F"/>
    <w:rsid w:val="714A76D4"/>
    <w:rsid w:val="73C3376E"/>
    <w:rsid w:val="745A5E80"/>
    <w:rsid w:val="74940C67"/>
    <w:rsid w:val="74C95135"/>
    <w:rsid w:val="7829772A"/>
    <w:rsid w:val="7C4A4A2C"/>
    <w:rsid w:val="7D6C2781"/>
    <w:rsid w:val="7FF8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semiHidden/>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2750</Words>
  <Characters>3258</Characters>
  <Lines>33</Lines>
  <Paragraphs>9</Paragraphs>
  <TotalTime>0</TotalTime>
  <ScaleCrop>false</ScaleCrop>
  <LinksUpToDate>false</LinksUpToDate>
  <CharactersWithSpaces>4442</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2021-12-08T01:31:00Z</dcterms:created>
  <dc:creator>Rainbow虹✨</dc:creator>
  <cp:lastModifiedBy>Administrator</cp:lastModifiedBy>
  <dcterms:modified xsi:type="dcterms:W3CDTF">2022-04-14T07:38:24Z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