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：王</w:t>
                            </w:r>
                            <w:r>
                              <w:rPr>
                                <w:rFonts w:ascii="Arial" w:hAnsi="宋体" w:cs="Arial"/>
                                <w:b/>
                                <w:bCs/>
                                <w:sz w:val="24"/>
                              </w:rPr>
                              <w:t>颜方</w:t>
                            </w:r>
                            <w:r>
                              <w:rPr>
                                <w:rFonts w:hint="eastAsia" w:ascii="Arial" w:hAnsi="宋体" w:cs="Arial"/>
                                <w:b/>
                                <w:bCs/>
                                <w:sz w:val="24"/>
                              </w:rPr>
                              <w:t xml:space="preserve"> 15801531164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：王</w:t>
                      </w:r>
                      <w:r>
                        <w:rPr>
                          <w:rFonts w:ascii="Arial" w:hAnsi="宋体" w:cs="Arial"/>
                          <w:b/>
                          <w:bCs/>
                          <w:sz w:val="24"/>
                        </w:rPr>
                        <w:t>颜方</w:t>
                      </w:r>
                      <w:r>
                        <w:rPr>
                          <w:rFonts w:hint="eastAsia" w:ascii="Arial" w:hAnsi="宋体" w:cs="Arial"/>
                          <w:b/>
                          <w:bCs/>
                          <w:sz w:val="24"/>
                        </w:rPr>
                        <w:t xml:space="preserve"> 15801531164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cs="宋体"/>
          <w:sz w:val="24"/>
        </w:rPr>
      </w:pPr>
    </w:p>
    <w:p>
      <w:pPr>
        <w:spacing w:line="360" w:lineRule="auto"/>
        <w:jc w:val="center"/>
        <w:rPr>
          <w:rFonts w:ascii="Arial" w:hAnsi="Arial" w:cs="Arial"/>
        </w:rPr>
      </w:pPr>
      <w:r>
        <w:rPr>
          <w:rFonts w:ascii="宋体" w:hAnsi="宋体" w:cs="宋体"/>
          <w:sz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ascii="黑体" w:hAnsi="宋体" w:eastAsia="黑体" w:cs="Arial"/>
          <w:b/>
          <w:bCs/>
          <w:spacing w:val="20"/>
          <w:sz w:val="40"/>
          <w:szCs w:val="40"/>
        </w:rPr>
      </w:pPr>
      <w:r>
        <w:rPr>
          <w:rFonts w:hint="eastAsia" w:ascii="黑体" w:hAnsi="宋体" w:eastAsia="黑体" w:cs="Arial"/>
          <w:b/>
          <w:bCs/>
          <w:spacing w:val="20"/>
          <w:sz w:val="40"/>
          <w:szCs w:val="40"/>
        </w:rPr>
        <w:t>2022中国（成都）国际石油石化技术装备展览会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rPr>
        <w:t>2022 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ind w:firstLine="1124" w:firstLineChars="400"/>
        <w:rPr>
          <w:b/>
          <w:bCs/>
          <w:sz w:val="28"/>
          <w:szCs w:val="36"/>
        </w:rPr>
      </w:pPr>
      <w:r>
        <w:rPr>
          <w:b/>
          <w:bCs/>
          <w:sz w:val="28"/>
          <w:szCs w:val="36"/>
        </w:rPr>
        <w:t>2022年</w:t>
      </w:r>
      <w:r>
        <w:rPr>
          <w:rFonts w:hint="eastAsia"/>
          <w:b/>
          <w:bCs/>
          <w:sz w:val="28"/>
          <w:szCs w:val="36"/>
        </w:rPr>
        <w:t>10</w:t>
      </w:r>
      <w:r>
        <w:rPr>
          <w:b/>
          <w:bCs/>
          <w:sz w:val="28"/>
          <w:szCs w:val="36"/>
        </w:rPr>
        <w:t>月</w:t>
      </w:r>
      <w:r>
        <w:rPr>
          <w:rFonts w:hint="eastAsia"/>
          <w:b/>
          <w:bCs/>
          <w:sz w:val="28"/>
          <w:szCs w:val="36"/>
        </w:rPr>
        <w:t>9</w:t>
      </w:r>
      <w:r>
        <w:rPr>
          <w:b/>
          <w:bCs/>
          <w:sz w:val="28"/>
          <w:szCs w:val="36"/>
        </w:rPr>
        <w:t>日-</w:t>
      </w:r>
      <w:r>
        <w:rPr>
          <w:rFonts w:hint="eastAsia"/>
          <w:b/>
          <w:bCs/>
          <w:sz w:val="28"/>
          <w:szCs w:val="36"/>
        </w:rPr>
        <w:t>11</w:t>
      </w:r>
      <w:r>
        <w:rPr>
          <w:b/>
          <w:bCs/>
          <w:sz w:val="28"/>
          <w:szCs w:val="36"/>
        </w:rPr>
        <w:t>日</w:t>
      </w:r>
      <w:r>
        <w:rPr>
          <w:rFonts w:hint="eastAsia"/>
          <w:b/>
          <w:bCs/>
          <w:sz w:val="28"/>
          <w:szCs w:val="36"/>
        </w:rPr>
        <w:t xml:space="preserve">       成都世纪城新国际会展中心</w:t>
      </w:r>
    </w:p>
    <w:p>
      <w:pPr>
        <w:spacing w:line="320" w:lineRule="exact"/>
        <w:rPr>
          <w:rFonts w:ascii="Arial" w:hAnsi="Arial" w:cs="Arial"/>
          <w:b/>
          <w:bCs/>
          <w:sz w:val="28"/>
        </w:rPr>
      </w:pPr>
    </w:p>
    <w:p>
      <w:pPr>
        <w:spacing w:line="440" w:lineRule="exact"/>
        <w:rPr>
          <w:rFonts w:asciiTheme="minorEastAsia" w:hAnsiTheme="minorEastAsia" w:eastAsiaTheme="minorEastAsia" w:cstheme="minorEastAsia"/>
          <w:b/>
          <w:bCs/>
          <w:spacing w:val="20"/>
          <w:szCs w:val="21"/>
        </w:rPr>
      </w:pPr>
    </w:p>
    <w:p>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firstLine="0" w:firstLineChars="0"/>
      </w:pPr>
    </w:p>
    <w:p>
      <w:pPr>
        <w:spacing w:line="360" w:lineRule="auto"/>
        <w:rPr>
          <w:rFonts w:ascii="微软雅黑" w:hAnsi="微软雅黑" w:eastAsia="微软雅黑"/>
          <w:b/>
          <w:sz w:val="22"/>
          <w:szCs w:val="22"/>
        </w:rPr>
      </w:pPr>
    </w:p>
    <w:p>
      <w:pPr>
        <w:spacing w:line="360" w:lineRule="auto"/>
        <w:rPr>
          <w:rFonts w:ascii="微软雅黑" w:hAnsi="微软雅黑" w:eastAsia="微软雅黑"/>
          <w:b/>
          <w:sz w:val="22"/>
          <w:szCs w:val="22"/>
        </w:rPr>
      </w:pPr>
    </w:p>
    <w:p>
      <w:pPr>
        <w:spacing w:line="360" w:lineRule="auto"/>
        <w:rPr>
          <w:rFonts w:ascii="微软雅黑" w:hAnsi="微软雅黑" w:eastAsia="微软雅黑"/>
          <w:b/>
          <w:sz w:val="22"/>
          <w:szCs w:val="22"/>
        </w:rPr>
      </w:pPr>
      <w:r>
        <w:rPr>
          <w:rFonts w:hint="eastAsia" w:ascii="微软雅黑" w:hAnsi="微软雅黑" w:eastAsia="微软雅黑"/>
          <w:b/>
          <w:sz w:val="22"/>
          <w:szCs w:val="22"/>
        </w:rPr>
        <w:t>行业盛会，打造油气领域创新高地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西南油气资源在我国油气行业的地位历来举足轻重，2021年12月2日，蜀南气矿年产油气当量突破千万吨，达到1000.8万吨。“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2022年10月9-11日，中国（成都）国际石油石化技术装备展览会（cippe成都石油展）将在成都世纪城新国际会展中心举办，总览面积30,000平方米，来自全国各地区的400家企业将亮相展会现场，预计吸引国内外2万人次的专业观众到场参观。</w:t>
      </w:r>
    </w:p>
    <w:p>
      <w:pPr>
        <w:spacing w:line="360" w:lineRule="auto"/>
        <w:rPr>
          <w:rFonts w:ascii="微软雅黑" w:hAnsi="微软雅黑" w:eastAsia="微软雅黑"/>
          <w:b/>
          <w:sz w:val="22"/>
          <w:szCs w:val="22"/>
        </w:rPr>
      </w:pPr>
      <w:r>
        <w:rPr>
          <w:rFonts w:hint="eastAsia" w:ascii="微软雅黑" w:hAnsi="微软雅黑" w:eastAsia="微软雅黑"/>
          <w:b/>
          <w:sz w:val="22"/>
          <w:szCs w:val="22"/>
        </w:rPr>
        <w:t>同期论坛，促进前沿技术深入交流</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会同期举行“2022石油石化产业高峰论坛”，打造西部石油行业高品质峰会，将邀请行业协会、石油石化装备制造企业、行业科研院所、行业权威媒体等业界大咖齐聚一堂，探讨行业热点及痛点，把脉行业发展趋势，实现资源、技术、信息、科技成果有效对接。</w:t>
      </w:r>
    </w:p>
    <w:p>
      <w:pPr>
        <w:spacing w:line="360" w:lineRule="auto"/>
        <w:rPr>
          <w:rFonts w:ascii="微软雅黑" w:hAnsi="微软雅黑" w:eastAsia="微软雅黑"/>
          <w:b/>
          <w:sz w:val="22"/>
          <w:szCs w:val="22"/>
        </w:rPr>
      </w:pPr>
      <w:r>
        <w:rPr>
          <w:rFonts w:hint="eastAsia" w:ascii="微软雅黑" w:hAnsi="微软雅黑" w:eastAsia="微软雅黑"/>
          <w:b/>
          <w:sz w:val="22"/>
          <w:szCs w:val="22"/>
        </w:rPr>
        <w:t>采购活动，搭建高效供求交易平台</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rPr>
        <w:t>展会联动，全力保障行业专业观众</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rPr>
        <w:t>品牌传播，优质媒体助力全程报道</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ascii="Arial" w:hAnsi="宋体" w:cs="Arial"/>
          <w:b/>
          <w:bCs/>
          <w:sz w:val="22"/>
          <w:szCs w:val="22"/>
          <w:shd w:val="pct10" w:color="auto" w:fill="FFFFFF"/>
        </w:rPr>
      </w:pPr>
    </w:p>
    <w:p>
      <w:pPr>
        <w:spacing w:line="480" w:lineRule="auto"/>
        <w:rPr>
          <w:rFonts w:ascii="Arial" w:hAnsi="宋体" w:cs="Arial"/>
          <w:b/>
          <w:bCs/>
          <w:sz w:val="22"/>
          <w:szCs w:val="22"/>
          <w:shd w:val="pct10" w:color="auto" w:fill="FFFFFF"/>
        </w:rPr>
      </w:pPr>
    </w:p>
    <w:p>
      <w:pPr>
        <w:spacing w:line="480" w:lineRule="auto"/>
        <w:rPr>
          <w:rFonts w:ascii="Arial" w:hAnsi="宋体" w:cs="Arial"/>
          <w:b/>
          <w:bCs/>
          <w:sz w:val="22"/>
          <w:szCs w:val="22"/>
          <w:shd w:val="pct10" w:color="auto" w:fill="FFFFFF"/>
        </w:rPr>
      </w:pPr>
      <w:r>
        <w:rPr>
          <w:rFonts w:hint="eastAsia" w:ascii="Arial" w:hAnsi="宋体" w:cs="Arial"/>
          <w:b/>
          <w:bCs/>
          <w:sz w:val="22"/>
          <w:szCs w:val="22"/>
          <w:shd w:val="pct10" w:color="auto" w:fill="FFFFFF"/>
        </w:rPr>
        <w:t>展会日程：</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报到布展：2022年10月7-8日 </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展示交易：2022年10月9-11日 </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闭幕撤展：2022年10月11日下午14：00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cs="Arial" w:asciiTheme="minorEastAsia" w:hAnsiTheme="minorEastAsia" w:eastAsiaTheme="minorEastAsia"/>
                <w:color w:val="000000" w:themeColor="text1"/>
                <w:sz w:val="20"/>
                <w:szCs w:val="20"/>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完井技术与装备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海洋工程技术与装备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天然气技术与装备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油气田地面工程技术及装备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14:textFill>
                  <w14:solidFill>
                    <w14:schemeClr w14:val="tx1"/>
                  </w14:solidFill>
                </w14:textFill>
              </w:rPr>
              <w:t>与</w:t>
            </w:r>
            <w:r>
              <w:rPr>
                <w:rFonts w:cs="Arial" w:asciiTheme="minorEastAsia" w:hAnsiTheme="minorEastAsia" w:eastAsiaTheme="minorEastAsia"/>
                <w:color w:val="000000" w:themeColor="text1"/>
                <w:sz w:val="20"/>
                <w:szCs w:val="20"/>
                <w14:textFill>
                  <w14:solidFill>
                    <w14:schemeClr w14:val="tx1"/>
                  </w14:solidFill>
                </w14:textFill>
              </w:rPr>
              <w:t>设备</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管道非开挖技术与装备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14:textFill>
                  <w14:solidFill>
                    <w14:schemeClr w14:val="tx1"/>
                  </w14:solidFill>
                </w14:textFill>
              </w:rPr>
              <w:t>、</w:t>
            </w:r>
            <w:r>
              <w:rPr>
                <w:rFonts w:cs="Arial" w:asciiTheme="minorEastAsia" w:hAnsiTheme="minorEastAsia" w:eastAsiaTheme="minorEastAsia"/>
                <w:color w:val="000000" w:themeColor="text1"/>
                <w:sz w:val="20"/>
                <w:szCs w:val="20"/>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油气储运技术与设备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加油加气站设备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环保、节能技术设备</w:t>
            </w:r>
          </w:p>
          <w:p>
            <w:pPr>
              <w:spacing w:line="280" w:lineRule="exact"/>
              <w:rPr>
                <w:rFonts w:ascii="Arial" w:hAnsi="宋体" w:cs="Arial"/>
                <w:b/>
                <w:bCs/>
                <w:color w:val="000000" w:themeColor="text1"/>
                <w:sz w:val="20"/>
                <w:szCs w:val="20"/>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消防、预警技术设备与安全防护产品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包装/密封/垫圈/紧固件/轴承</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油气数字化解决方案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通信与信息技术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氢能技术与装备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00A8"/>
            </w:r>
            <w:r>
              <w:rPr>
                <w:rFonts w:cs="Arial" w:asciiTheme="minorEastAsia" w:hAnsiTheme="minorEastAsia" w:eastAsiaTheme="minorEastAsia"/>
                <w:color w:val="000000" w:themeColor="text1"/>
                <w:sz w:val="20"/>
                <w:szCs w:val="20"/>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14:textFill>
                  <w14:solidFill>
                    <w14:schemeClr w14:val="tx1"/>
                  </w14:solidFill>
                </w14:textFill>
              </w:rPr>
              <w:t xml:space="preserve">认证、咨询服务                 </w:t>
            </w: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jc w:val="left"/>
            </w:pPr>
            <w:r>
              <w:rPr>
                <w:rFonts w:hint="eastAsia"/>
              </w:rPr>
              <w:t>国内展区：RMB12000元/标准展位（9㎡/个）</w:t>
            </w:r>
          </w:p>
          <w:p>
            <w:pPr>
              <w:widowControl/>
              <w:jc w:val="left"/>
            </w:pPr>
            <w:r>
              <w:rPr>
                <w:rFonts w:hint="eastAsia"/>
              </w:rPr>
              <w:t>精装展区：RMB16800元/标准展位（9㎡/个）</w:t>
            </w:r>
          </w:p>
          <w:p>
            <w:pPr>
              <w:widowControl/>
              <w:jc w:val="left"/>
            </w:pPr>
            <w:r>
              <w:rPr>
                <w:rFonts w:hint="eastAsia"/>
              </w:rPr>
              <w:t>国际展区：RMB21800元/标准展位（9㎡/个）</w:t>
            </w:r>
          </w:p>
          <w:p>
            <w:pPr>
              <w:pStyle w:val="2"/>
              <w:ind w:firstLine="200"/>
            </w:pPr>
            <w:r>
              <w:rPr>
                <w:rFonts w:hint="eastAsia" w:eastAsia="宋体"/>
                <w:sz w:val="20"/>
              </w:rPr>
              <w:t>双开位置加收20%开口费。</w:t>
            </w:r>
          </w:p>
        </w:tc>
        <w:tc>
          <w:tcPr>
            <w:tcW w:w="4485" w:type="dxa"/>
          </w:tcPr>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◆地毯            ◆三面围板   </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◆公司名称楣板    ◆咨询桌一张   </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        ◆射灯两盏</w:t>
            </w:r>
          </w:p>
          <w:p>
            <w:pPr>
              <w:widowControl/>
              <w:jc w:val="left"/>
              <w:rPr>
                <w:rFonts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 xml:space="preserve">◆电源插座一个  </w:t>
            </w: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rPr>
                <w:rFonts w:asciiTheme="minorEastAsia" w:hAnsiTheme="minorEastAsia" w:eastAsiaTheme="minorEastAsia" w:cstheme="minorEastAsia"/>
                <w:sz w:val="20"/>
                <w:szCs w:val="20"/>
                <w:shd w:val="clear" w:color="auto" w:fill="FFFFFF"/>
              </w:rPr>
            </w:p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jc w:val="left"/>
              <w:rPr>
                <w:sz w:val="20"/>
                <w:szCs w:val="20"/>
              </w:rPr>
            </w:pPr>
            <w:r>
              <w:rPr>
                <w:rFonts w:hint="eastAsia"/>
                <w:sz w:val="20"/>
                <w:szCs w:val="20"/>
              </w:rPr>
              <w:t>国内展区：RMB1200元/㎡（36平米起租）</w:t>
            </w:r>
          </w:p>
          <w:p>
            <w:pPr>
              <w:widowControl/>
              <w:jc w:val="left"/>
              <w:rPr>
                <w:sz w:val="20"/>
                <w:szCs w:val="20"/>
              </w:rPr>
            </w:pPr>
            <w:r>
              <w:rPr>
                <w:rFonts w:hint="eastAsia"/>
                <w:sz w:val="20"/>
                <w:szCs w:val="20"/>
              </w:rPr>
              <w:t>国际展区：RMB2180元/㎡</w:t>
            </w:r>
          </w:p>
        </w:tc>
        <w:tc>
          <w:tcPr>
            <w:tcW w:w="4485"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1,200元/人</w:t>
            </w:r>
          </w:p>
        </w:tc>
        <w:tc>
          <w:tcPr>
            <w:tcW w:w="4485"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jc w:val="center"/>
              <w:rPr>
                <w:rFonts w:asciiTheme="minorEastAsia" w:hAnsiTheme="minorEastAsia" w:eastAsiaTheme="minorEastAsia" w:cstheme="minorEastAsia"/>
                <w:sz w:val="20"/>
                <w:szCs w:val="20"/>
                <w:shd w:val="clear" w:color="auto" w:fill="FFFFFF"/>
              </w:rPr>
            </w:pP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封面：￥25,000元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封底： ￥20,000元 </w:t>
            </w:r>
          </w:p>
          <w:p>
            <w:pPr>
              <w:widowControl/>
              <w:jc w:val="left"/>
              <w:rPr>
                <w:rFonts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封二：￥15,000元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封三：￥15,000元</w:t>
            </w: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扉页：￥18,000元  </w:t>
            </w:r>
            <w:r>
              <w:rPr>
                <w:rFonts w:hint="eastAsia" w:asciiTheme="minorEastAsia" w:hAnsiTheme="minorEastAsia" w:eastAsiaTheme="minorEastAsia" w:cstheme="minorEastAsia"/>
                <w:color w:val="000000" w:themeColor="text1"/>
                <w:sz w:val="20"/>
                <w:szCs w:val="20"/>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14:textFill>
                  <w14:solidFill>
                    <w14:schemeClr w14:val="tx1"/>
                  </w14:solidFill>
                </w14:textFill>
              </w:rPr>
              <w:t xml:space="preserve"> 彩色内页：￥8,000元 </w:t>
            </w:r>
          </w:p>
        </w:tc>
        <w:tc>
          <w:tcPr>
            <w:tcW w:w="4485" w:type="dxa"/>
          </w:tcPr>
          <w:p>
            <w:pPr>
              <w:widowControl/>
              <w:jc w:val="left"/>
              <w:rPr>
                <w:rFonts w:asciiTheme="minorEastAsia" w:hAnsiTheme="minorEastAsia" w:eastAsiaTheme="minorEastAsia" w:cstheme="minorEastAsia"/>
                <w:sz w:val="20"/>
                <w:szCs w:val="20"/>
                <w:shd w:val="clear" w:color="auto" w:fill="FFFFFF"/>
              </w:rPr>
            </w:pPr>
          </w:p>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 xml:space="preserve">技术讲座（会议室）： </w:t>
            </w:r>
            <w:r>
              <w:rPr>
                <w:rFonts w:hint="eastAsia" w:asciiTheme="minorEastAsia" w:hAnsiTheme="minorEastAsia" w:eastAsiaTheme="minorEastAsia" w:cstheme="minorEastAsia"/>
                <w:color w:val="000000" w:themeColor="text1"/>
                <w:sz w:val="20"/>
                <w:szCs w:val="20"/>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15,000元/场</w:t>
            </w:r>
          </w:p>
        </w:tc>
        <w:tc>
          <w:tcPr>
            <w:tcW w:w="4485" w:type="dxa"/>
          </w:tcPr>
          <w:p>
            <w:pPr>
              <w:widowControl/>
              <w:jc w:val="left"/>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《参展商手册》将于2022年5月上传到展会官网，请参展商自行下载。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0</w:t>
      </w:r>
      <w:r>
        <w:rPr>
          <w:rFonts w:cs="Arial" w:asciiTheme="minorEastAsia" w:hAnsiTheme="minorEastAsia" w:eastAsiaTheme="minorEastAsia"/>
          <w:szCs w:val="21"/>
        </w:rPr>
        <w:t>10</w:t>
      </w:r>
      <w:r>
        <w:rPr>
          <w:rFonts w:hint="eastAsia" w:cs="Arial" w:asciiTheme="minorEastAsia" w:hAnsiTheme="minorEastAsia" w:eastAsiaTheme="minorEastAsia"/>
          <w:szCs w:val="21"/>
        </w:rPr>
        <w:t>-</w:t>
      </w:r>
      <w:r>
        <w:rPr>
          <w:rFonts w:cs="Arial" w:asciiTheme="minorEastAsia" w:hAnsiTheme="minorEastAsia" w:eastAsiaTheme="minorEastAsia"/>
          <w:szCs w:val="21"/>
        </w:rPr>
        <w:t>56176937</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 xml:space="preserve">5617 6998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eastAsia="zh-Hans"/>
        </w:rPr>
        <w:t>cd</w:t>
      </w:r>
      <w:r>
        <w:rPr>
          <w:rStyle w:val="12"/>
          <w:rFonts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wyf</w:t>
      </w:r>
      <w:r>
        <w:fldChar w:fldCharType="begin"/>
      </w:r>
      <w:r>
        <w:instrText xml:space="preserve"> HYPERLINK "mailto:wenqi@zhenweiexpo.com" </w:instrText>
      </w:r>
      <w:r>
        <w:fldChar w:fldCharType="separate"/>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 xml:space="preserve">：王颜方 </w:t>
      </w:r>
      <w:r>
        <w:rPr>
          <w:rFonts w:cs="Arial" w:asciiTheme="minorEastAsia" w:hAnsiTheme="minorEastAsia" w:eastAsiaTheme="minorEastAsia"/>
          <w:szCs w:val="21"/>
        </w:rPr>
        <w:t>15801531164</w:t>
      </w:r>
      <w:r>
        <w:rPr>
          <w:rFonts w:hint="eastAsia" w:asciiTheme="minorEastAsia" w:hAnsiTheme="minorEastAsia" w:eastAsiaTheme="minorEastAsia" w:cstheme="minorEastAsia"/>
        </w:rPr>
        <w:t xml:space="preserve">   </w:t>
      </w:r>
    </w:p>
    <w:p>
      <w:pPr>
        <w:rPr>
          <w:rFonts w:ascii="Arial" w:hAnsi="Arial" w:cs="Arial"/>
          <w:sz w:val="28"/>
          <w:szCs w:val="28"/>
        </w:rPr>
      </w:pPr>
      <w:r>
        <w:rPr>
          <w:rFonts w:ascii="宋体" w:hAnsi="宋体" w:cs="宋体"/>
          <w:sz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rPr>
        <w:t xml:space="preserve">2022中国（成都）国际石油石化技术装备展览会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jc w:val="center"/>
        <w:rPr>
          <w:rFonts w:eastAsia="微软雅黑" w:asciiTheme="minorEastAsia" w:hAnsiTheme="minorEastAsia" w:cstheme="minorEastAsia"/>
        </w:rPr>
      </w:pPr>
      <w:r>
        <w:rPr>
          <w:rFonts w:hint="eastAsia" w:asciiTheme="minorEastAsia" w:hAnsiTheme="minorEastAsia" w:eastAsiaTheme="minorEastAsia" w:cstheme="minorEastAsia"/>
        </w:rPr>
        <w:t>时间：2022年10月9日-11日     地点：</w:t>
      </w:r>
      <w:r>
        <w:rPr>
          <w:rFonts w:hint="eastAsia" w:asciiTheme="minorEastAsia" w:hAnsiTheme="minorEastAsia" w:eastAsiaTheme="minorEastAsia" w:cstheme="minorEastAsia"/>
          <w:szCs w:val="21"/>
        </w:rPr>
        <w:t>成都世纪城新国际会展中</w:t>
      </w:r>
      <w:r>
        <w:rPr>
          <w:rFonts w:hint="eastAsia" w:asciiTheme="minorEastAsia" w:hAnsiTheme="minorEastAsia" w:eastAsiaTheme="minorEastAsia" w:cstheme="minorEastAsia"/>
          <w:sz w:val="21"/>
          <w:szCs w:val="21"/>
          <w:lang w:val="en-US" w:eastAsia="zh-CN"/>
        </w:rPr>
        <w:t>心</w:t>
      </w:r>
      <w:bookmarkStart w:id="4" w:name="_GoBack"/>
      <w:bookmarkEnd w:id="4"/>
      <w:r>
        <w:rPr>
          <w:rFonts w:hint="eastAsia" w:asciiTheme="minorEastAsia" w:hAnsiTheme="minorEastAsia" w:eastAsiaTheme="minorEastAsia" w:cstheme="minorEastAsia"/>
          <w:szCs w:val="21"/>
        </w:rPr>
        <w:t>(成都市天府大道中段1号</w:t>
      </w:r>
      <w:r>
        <w:rPr>
          <w:rFonts w:hint="eastAsia" w:ascii="微软雅黑" w:hAnsi="微软雅黑" w:eastAsia="微软雅黑" w:cs="微软雅黑"/>
          <w:color w:val="333333"/>
          <w:sz w:val="19"/>
          <w:szCs w:val="19"/>
          <w:shd w:val="clear" w:color="auto" w:fill="FFFFFF"/>
        </w:rPr>
        <w:t>)</w:t>
      </w:r>
    </w:p>
    <w:p>
      <w:pPr>
        <w:spacing w:line="320" w:lineRule="exact"/>
        <w:ind w:left="420" w:hanging="420"/>
        <w:jc w:val="center"/>
        <w:rPr>
          <w:rFonts w:asciiTheme="minorEastAsia" w:hAnsiTheme="minorEastAsia" w:eastAsiaTheme="minorEastAsia" w:cstheme="minorEastAsia"/>
        </w:rPr>
      </w:pPr>
    </w:p>
    <w:p>
      <w:pPr>
        <w:spacing w:line="400" w:lineRule="exact"/>
        <w:ind w:hanging="126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标准展位：国际展区：21,800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bCs/>
        </w:rPr>
        <w:t xml:space="preserve">             国内展区：12,000元/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16,800元/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空 场 地：国际展区：2,180元/平米；</w:t>
      </w:r>
      <w:r>
        <w:rPr>
          <w:rFonts w:hint="eastAsia" w:asciiTheme="minorEastAsia" w:hAnsiTheme="minorEastAsia" w:eastAsiaTheme="minorEastAsia" w:cstheme="minorEastAsia"/>
          <w:bCs/>
        </w:rPr>
        <w:t>国内展区：1,200元/平米（36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￥25,000元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二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￥18,000元</w:t>
      </w:r>
    </w:p>
    <w:p>
      <w:pPr>
        <w:spacing w:line="42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底  ￥20,000元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 xml:space="preserve">封  三  ￥15,000元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￥8,000元</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技术讲座：15,000元/场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会务费：1,200元/人（包括展会资料、午餐、水、答谢晚宴、礼品等）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1.报名后七个工作日之内请将参展费用一次性汇入组织单位指定帐户；2.组织单位以收到全部参展费用为最终确认参展商展出资格；3.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为保障2022年成都石油展搭建质量，请各参展商选择主办方指定搭建商搭建贵司展台，非指定搭建商不允许进入场馆</w:t>
      </w:r>
      <w:r>
        <w:rPr>
          <w:rFonts w:hint="eastAsia" w:asciiTheme="minorEastAsia" w:hAnsiTheme="minorEastAsia" w:eastAsiaTheme="minorEastAsia" w:cstheme="minorEastAsia"/>
          <w:kern w:val="0"/>
          <w:szCs w:val="21"/>
        </w:rPr>
        <w:t>。</w:t>
      </w:r>
    </w:p>
    <w:p>
      <w:pPr>
        <w:spacing w:line="36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电  话：0</w:t>
      </w:r>
      <w:r>
        <w:rPr>
          <w:rFonts w:asciiTheme="minorEastAsia" w:hAnsiTheme="minorEastAsia" w:eastAsiaTheme="minorEastAsia" w:cstheme="minorEastAsia"/>
        </w:rPr>
        <w:t>10</w:t>
      </w:r>
      <w:r>
        <w:rPr>
          <w:rFonts w:hint="eastAsia" w:asciiTheme="minorEastAsia" w:hAnsiTheme="minorEastAsia" w:eastAsiaTheme="minorEastAsia" w:cstheme="minorEastAsia"/>
        </w:rPr>
        <w:t>-</w:t>
      </w:r>
      <w:r>
        <w:rPr>
          <w:rFonts w:asciiTheme="minorEastAsia" w:hAnsiTheme="minorEastAsia" w:eastAsiaTheme="minorEastAsia" w:cstheme="minorEastAsia"/>
        </w:rPr>
        <w:t>56176937</w:t>
      </w:r>
      <w:r>
        <w:rPr>
          <w:rFonts w:hint="eastAsia" w:asciiTheme="minorEastAsia" w:hAnsiTheme="minorEastAsia" w:eastAsiaTheme="minorEastAsia" w:cstheme="minorEastAsia"/>
        </w:rPr>
        <w:t xml:space="preserve">                                                参展单位印鉴及负责人签名</w:t>
      </w:r>
    </w:p>
    <w:p>
      <w:pPr>
        <w:spacing w:line="360" w:lineRule="exact"/>
        <w:rPr>
          <w:rFonts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rPr>
        <w:t xml:space="preserve"> </w:t>
      </w:r>
      <w:r>
        <w:rPr>
          <w:rFonts w:asciiTheme="minorEastAsia" w:hAnsiTheme="minorEastAsia" w:eastAsiaTheme="minorEastAsia" w:cstheme="minorEastAsia"/>
        </w:rPr>
        <w:t>wyf</w:t>
      </w:r>
      <w:r>
        <w:fldChar w:fldCharType="begin"/>
      </w:r>
      <w:r>
        <w:instrText xml:space="preserve"> HYPERLINK "mailto:cippe@zhenweiexpo.com" </w:instrText>
      </w:r>
      <w:r>
        <w:fldChar w:fldCharType="separate"/>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年   月   日</w:t>
      </w:r>
      <w:bookmarkEnd w:id="3"/>
    </w:p>
    <w:p>
      <w:pPr>
        <w:spacing w:line="360" w:lineRule="exact"/>
      </w:pPr>
      <w:r>
        <w:rPr>
          <w:rFonts w:hint="eastAsia" w:asciiTheme="minorEastAsia" w:hAnsiTheme="minorEastAsia" w:eastAsiaTheme="minorEastAsia" w:cstheme="minorEastAsia"/>
        </w:rPr>
        <w:t xml:space="preserve">联系人：王颜方 </w:t>
      </w:r>
      <w:r>
        <w:rPr>
          <w:rFonts w:asciiTheme="minorEastAsia" w:hAnsiTheme="minorEastAsia" w:eastAsiaTheme="minorEastAsia" w:cstheme="minorEastAsia"/>
        </w:rPr>
        <w:t>15801531164</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C95135"/>
    <w:rsid w:val="000F3F43"/>
    <w:rsid w:val="003362AA"/>
    <w:rsid w:val="0095502E"/>
    <w:rsid w:val="00CB1EB4"/>
    <w:rsid w:val="00ED62AA"/>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3D6F48ED"/>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715</Words>
  <Characters>4080</Characters>
  <Lines>34</Lines>
  <Paragraphs>9</Paragraphs>
  <TotalTime>0</TotalTime>
  <ScaleCrop>false</ScaleCrop>
  <LinksUpToDate>false</LinksUpToDate>
  <CharactersWithSpaces>4786</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2022-04-13T09:38:00Z</dcterms:created>
  <dc:creator>Rainbow虹✨</dc:creator>
  <cp:lastModifiedBy>Administrator</cp:lastModifiedBy>
  <dcterms:modified xsi:type="dcterms:W3CDTF">2022-04-14T07:49:58Z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