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56176967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lang w:eastAsia="zh-CN"/>
        </w:rPr>
        <w:t>箱</w:t>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eastAsia="zh-CN"/>
        </w:rPr>
        <w:t>：</w:t>
      </w:r>
      <w:r>
        <w:rPr>
          <w:rFonts w:hint="eastAsia" w:cs="Arial" w:asciiTheme="minorEastAsia" w:hAnsiTheme="minorEastAsia" w:eastAsiaTheme="minorEastAsia"/>
          <w:szCs w:val="21"/>
          <w:lang w:val="en-US" w:eastAsia="zh-CN"/>
        </w:rPr>
        <w:t>491699850@qq.com</w:t>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仝利英 13521063550</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010-56176967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tongliying</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仝利英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03F7C7B"/>
    <w:rsid w:val="58773629"/>
    <w:rsid w:val="59017307"/>
    <w:rsid w:val="5C0D2543"/>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