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Arial" w:hAnsi="宋体" w:cs="Arial"/>
          <w:b/>
          <w:bCs/>
          <w:sz w:val="30"/>
        </w:rPr>
      </w:pPr>
      <w:r>
        <w:rPr>
          <w:rFonts w:ascii="Arial" w:hAnsi="Arial" w:cs="Arial"/>
          <w:sz w:val="20"/>
        </w:rPr>
        <w:drawing>
          <wp:anchor distT="0" distB="0" distL="114300" distR="114300" simplePos="0" relativeHeight="251661312" behindDoc="0" locked="0" layoutInCell="1" allowOverlap="0">
            <wp:simplePos x="0" y="0"/>
            <wp:positionH relativeFrom="column">
              <wp:posOffset>5581650</wp:posOffset>
            </wp:positionH>
            <wp:positionV relativeFrom="paragraph">
              <wp:posOffset>-296545</wp:posOffset>
            </wp:positionV>
            <wp:extent cx="685800" cy="640080"/>
            <wp:effectExtent l="0" t="0" r="0" b="7620"/>
            <wp:wrapNone/>
            <wp:docPr id="2" name="Picture 2" descr="UFI-认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FI-认证"/>
                    <pic:cNvPicPr>
                      <a:picLocks noChangeAspect="1"/>
                    </pic:cNvPicPr>
                  </pic:nvPicPr>
                  <pic:blipFill>
                    <a:blip r:embed="rId4"/>
                    <a:stretch>
                      <a:fillRect/>
                    </a:stretch>
                  </pic:blipFill>
                  <pic:spPr>
                    <a:xfrm>
                      <a:off x="0" y="0"/>
                      <a:ext cx="685800" cy="640080"/>
                    </a:xfrm>
                    <a:prstGeom prst="rect">
                      <a:avLst/>
                    </a:prstGeom>
                    <a:noFill/>
                    <a:ln>
                      <a:noFill/>
                    </a:ln>
                  </pic:spPr>
                </pic:pic>
              </a:graphicData>
            </a:graphic>
          </wp:anchor>
        </w:drawing>
      </w:r>
      <w:r>
        <w:rPr>
          <w:rFonts w:ascii="Arial" w:hAnsi="宋体" w:cs="Arial"/>
          <w:b/>
          <w:bCs/>
          <w:sz w:val="30"/>
        </w:rPr>
        <w:t>邀请函</w:t>
      </w:r>
    </w:p>
    <w:p>
      <w:pPr>
        <w:spacing w:line="300" w:lineRule="auto"/>
        <w:rPr>
          <w:rFonts w:ascii="Arial" w:hAnsi="Arial" w:cs="Arial"/>
          <w:sz w:val="30"/>
        </w:rPr>
      </w:pPr>
      <w:r>
        <w:rPr>
          <w:rFonts w:ascii="Arial" w:hAnsi="Arial" w:cs="Arial"/>
          <w:sz w:val="30"/>
        </w:rPr>
        <mc:AlternateContent>
          <mc:Choice Requires="wps">
            <w:drawing>
              <wp:anchor distT="0" distB="0" distL="114300" distR="114300" simplePos="0" relativeHeight="251662336" behindDoc="0" locked="0" layoutInCell="1" allowOverlap="1">
                <wp:simplePos x="0" y="0"/>
                <wp:positionH relativeFrom="column">
                  <wp:posOffset>104775</wp:posOffset>
                </wp:positionH>
                <wp:positionV relativeFrom="paragraph">
                  <wp:posOffset>40005</wp:posOffset>
                </wp:positionV>
                <wp:extent cx="6076950" cy="600075"/>
                <wp:effectExtent l="6350" t="6350" r="31750" b="41275"/>
                <wp:wrapNone/>
                <wp:docPr id="3" name="自选图形 72"/>
                <wp:cNvGraphicFramePr/>
                <a:graphic xmlns:a="http://schemas.openxmlformats.org/drawingml/2006/main">
                  <a:graphicData uri="http://schemas.microsoft.com/office/word/2010/wordprocessingShape">
                    <wps:wsp>
                      <wps:cNvSpPr/>
                      <wps:spPr>
                        <a:xfrm>
                          <a:off x="0" y="0"/>
                          <a:ext cx="6076950" cy="600075"/>
                        </a:xfrm>
                        <a:prstGeom prst="horizontalScroll">
                          <a:avLst>
                            <a:gd name="adj" fmla="val 12500"/>
                          </a:avLst>
                        </a:prstGeom>
                        <a:gradFill rotWithShape="0">
                          <a:gsLst>
                            <a:gs pos="0">
                              <a:srgbClr val="FFFFFF"/>
                            </a:gs>
                            <a:gs pos="100000">
                              <a:srgbClr val="B6DDE8"/>
                            </a:gs>
                          </a:gsLst>
                          <a:lin ang="5400000" scaled="1"/>
                          <a:tileRect/>
                        </a:gradFill>
                        <a:ln w="12700" cap="flat" cmpd="sng">
                          <a:solidFill>
                            <a:srgbClr val="92CDDC"/>
                          </a:solidFill>
                          <a:prstDash val="solid"/>
                          <a:headEnd type="none" w="med" len="med"/>
                          <a:tailEnd type="none" w="med" len="med"/>
                        </a:ln>
                        <a:effectLst>
                          <a:outerShdw dist="28398" dir="3806096" algn="ctr" rotWithShape="0">
                            <a:srgbClr val="205867">
                              <a:alpha val="50000"/>
                            </a:srgbClr>
                          </a:outerShdw>
                        </a:effectLst>
                      </wps:spPr>
                      <wps:txb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wps:txbx>
                      <wps:bodyPr upright="1"/>
                    </wps:wsp>
                  </a:graphicData>
                </a:graphic>
              </wp:anchor>
            </w:drawing>
          </mc:Choice>
          <mc:Fallback>
            <w:pict>
              <v:shape id="自选图形 72" o:spid="_x0000_s1026" o:spt="98" type="#_x0000_t98" style="position:absolute;left:0pt;margin-left:8.25pt;margin-top:3.15pt;height:47.25pt;width:478.5pt;z-index:251662336;mso-width-relative:page;mso-height-relative:page;" fillcolor="#FFFFFF" filled="t" stroked="t" coordsize="21600,21600" o:gfxdata="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" adj="2700">
                <v:fill type="gradient" on="t" color2="#B6DDE8" focus="100%" focussize="0,0"/>
                <v:stroke weight="1pt" color="#92CDDC" joinstyle="round"/>
                <v:imagedata o:title=""/>
                <o:lock v:ext="edit" aspectratio="f"/>
                <v:shadow on="t" color="#205867" opacity="32768f" offset="1pt,2pt" origin="0f,0f" matrix="65536f,0f,0f,65536f"/>
                <v:textbox>
                  <w:txbxContent>
                    <w:p>
                      <w:pPr>
                        <w:spacing w:line="360" w:lineRule="auto"/>
                        <w:rPr>
                          <w:rFonts w:hint="eastAsia" w:eastAsia="宋体"/>
                          <w:lang w:eastAsia="zh-CN"/>
                        </w:rPr>
                      </w:pPr>
                      <w:r>
                        <w:rPr>
                          <w:rFonts w:ascii="Arial" w:hAnsi="Arial" w:cs="Arial"/>
                          <w:b/>
                          <w:bCs/>
                          <w:sz w:val="24"/>
                        </w:rPr>
                        <w:t>To</w:t>
                      </w:r>
                      <w:r>
                        <w:rPr>
                          <w:rFonts w:hint="eastAsia" w:ascii="Arial" w:hAnsi="宋体" w:cs="Arial"/>
                          <w:b/>
                          <w:bCs/>
                          <w:sz w:val="24"/>
                        </w:rPr>
                        <w:t xml:space="preserve">:                                              </w:t>
                      </w:r>
                      <w:r>
                        <w:rPr>
                          <w:rFonts w:ascii="Arial" w:hAnsi="Arial" w:cs="Arial"/>
                          <w:b/>
                          <w:bCs/>
                          <w:sz w:val="24"/>
                        </w:rPr>
                        <w:t>From</w:t>
                      </w:r>
                      <w:r>
                        <w:rPr>
                          <w:rFonts w:hint="eastAsia" w:ascii="Arial" w:hAnsi="宋体" w:cs="Arial"/>
                          <w:b/>
                          <w:bCs/>
                          <w:sz w:val="24"/>
                        </w:rPr>
                        <w:t xml:space="preserve">： </w:t>
                      </w:r>
                      <w:r>
                        <w:rPr>
                          <w:rFonts w:hint="eastAsia" w:ascii="Arial" w:hAnsi="宋体" w:cs="Arial"/>
                          <w:b/>
                          <w:bCs/>
                          <w:sz w:val="24"/>
                          <w:lang w:val="en-US" w:eastAsia="zh-CN"/>
                        </w:rPr>
                        <w:t xml:space="preserve"> </w:t>
                      </w:r>
                    </w:p>
                  </w:txbxContent>
                </v:textbox>
              </v:shape>
            </w:pict>
          </mc:Fallback>
        </mc:AlternateContent>
      </w:r>
    </w:p>
    <w:p>
      <w:pPr>
        <w:spacing w:line="240" w:lineRule="atLeast"/>
        <w:rPr>
          <w:rFonts w:ascii="Arial" w:hAnsi="Arial" w:cs="Arial"/>
          <w:sz w:val="28"/>
        </w:rPr>
      </w:pPr>
    </w:p>
    <w:p>
      <w:pPr>
        <w:spacing w:line="360" w:lineRule="auto"/>
        <w:jc w:val="center"/>
        <w:rPr>
          <w:rFonts w:ascii="宋体" w:hAnsi="宋体" w:eastAsia="宋体" w:cs="宋体"/>
          <w:sz w:val="24"/>
          <w:szCs w:val="24"/>
        </w:rPr>
      </w:pPr>
    </w:p>
    <w:p>
      <w:pPr>
        <w:spacing w:line="360" w:lineRule="auto"/>
        <w:jc w:val="center"/>
        <w:rPr>
          <w:rFonts w:ascii="Arial" w:hAnsi="Arial" w:cs="Arial"/>
        </w:rPr>
      </w:pPr>
      <w:r>
        <w:rPr>
          <w:rFonts w:ascii="宋体" w:hAnsi="宋体" w:eastAsia="宋体" w:cs="宋体"/>
          <w:sz w:val="24"/>
          <w:szCs w:val="24"/>
        </w:rPr>
        <w:drawing>
          <wp:inline distT="0" distB="0" distL="114300" distR="114300">
            <wp:extent cx="3343910" cy="967105"/>
            <wp:effectExtent l="0" t="0" r="8890" b="444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5"/>
                    <a:stretch>
                      <a:fillRect/>
                    </a:stretch>
                  </pic:blipFill>
                  <pic:spPr>
                    <a:xfrm>
                      <a:off x="0" y="0"/>
                      <a:ext cx="3343910" cy="967105"/>
                    </a:xfrm>
                    <a:prstGeom prst="rect">
                      <a:avLst/>
                    </a:prstGeom>
                    <a:noFill/>
                    <a:ln w="9525">
                      <a:noFill/>
                    </a:ln>
                  </pic:spPr>
                </pic:pic>
              </a:graphicData>
            </a:graphic>
          </wp:inline>
        </w:drawing>
      </w:r>
    </w:p>
    <w:p>
      <w:pPr>
        <w:spacing w:line="200" w:lineRule="exact"/>
        <w:rPr>
          <w:rFonts w:ascii="Arial" w:hAnsi="Arial" w:cs="Arial"/>
        </w:rPr>
      </w:pPr>
    </w:p>
    <w:p>
      <w:pPr>
        <w:pStyle w:val="4"/>
        <w:spacing w:line="360" w:lineRule="auto"/>
        <w:ind w:firstLine="0"/>
        <w:jc w:val="center"/>
        <w:rPr>
          <w:rFonts w:hint="eastAsia" w:ascii="黑体" w:hAnsi="宋体" w:eastAsia="黑体" w:cs="Arial"/>
          <w:b/>
          <w:bCs/>
          <w:spacing w:val="20"/>
          <w:sz w:val="40"/>
          <w:szCs w:val="40"/>
        </w:rPr>
      </w:pPr>
      <w:r>
        <w:rPr>
          <w:rFonts w:hint="eastAsia" w:ascii="黑体" w:hAnsi="宋体" w:eastAsia="黑体" w:cs="Arial"/>
          <w:b/>
          <w:bCs/>
          <w:spacing w:val="20"/>
          <w:sz w:val="40"/>
          <w:szCs w:val="40"/>
          <w:lang w:val="en-US" w:eastAsia="zh-CN"/>
        </w:rPr>
        <w:t>2022</w:t>
      </w:r>
      <w:r>
        <w:rPr>
          <w:rFonts w:hint="eastAsia" w:ascii="黑体" w:hAnsi="宋体" w:eastAsia="黑体" w:cs="Arial"/>
          <w:b/>
          <w:bCs/>
          <w:spacing w:val="20"/>
          <w:sz w:val="40"/>
          <w:szCs w:val="40"/>
        </w:rPr>
        <w:t>中国（成都）国际石油石化技术装备展览会</w:t>
      </w:r>
    </w:p>
    <w:p>
      <w:pPr>
        <w:pStyle w:val="4"/>
        <w:spacing w:line="360" w:lineRule="auto"/>
        <w:ind w:firstLine="0"/>
        <w:jc w:val="center"/>
        <w:rPr>
          <w:rFonts w:ascii="Arial" w:hAnsi="Arial" w:eastAsia="宋体" w:cs="Arial"/>
        </w:rPr>
      </w:pPr>
      <w:r>
        <w:rPr>
          <w:rFonts w:hint="eastAsia" w:ascii="Arial" w:hAnsi="Arial" w:eastAsia="宋体" w:cs="Arial"/>
          <w:lang w:val="en-US" w:eastAsia="zh-CN"/>
        </w:rPr>
        <w:t xml:space="preserve">2022 </w:t>
      </w:r>
      <w:r>
        <w:rPr>
          <w:rFonts w:hint="eastAsia" w:ascii="Arial" w:hAnsi="Arial" w:eastAsia="宋体" w:cs="Arial"/>
        </w:rPr>
        <w:t>China (Chengdu) International Petroleum &amp; Petrochemical Technology and Equipment Exhibition</w:t>
      </w:r>
    </w:p>
    <w:p>
      <w:pPr>
        <w:spacing w:line="320" w:lineRule="exact"/>
        <w:jc w:val="center"/>
        <w:rPr>
          <w:b/>
          <w:bCs/>
          <w:sz w:val="28"/>
          <w:szCs w:val="36"/>
        </w:rPr>
      </w:pPr>
      <w:r>
        <w:rPr>
          <w:rFonts w:ascii="Arial" w:hAnsi="Arial" w:cs="Arial"/>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81280</wp:posOffset>
                </wp:positionV>
                <wp:extent cx="6057900" cy="0"/>
                <wp:effectExtent l="0" t="0" r="0" b="0"/>
                <wp:wrapNone/>
                <wp:docPr id="5" name="Line 3"/>
                <wp:cNvGraphicFramePr/>
                <a:graphic xmlns:a="http://schemas.openxmlformats.org/drawingml/2006/main">
                  <a:graphicData uri="http://schemas.microsoft.com/office/word/2010/wordprocessingShape">
                    <wps:wsp>
                      <wps:cNvCnPr/>
                      <wps:spPr>
                        <a:xfrm>
                          <a:off x="0" y="0"/>
                          <a:ext cx="60579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3" o:spid="_x0000_s1026" o:spt="20" style="position:absolute;left:0pt;margin-left:6.3pt;margin-top:6.4pt;height:0pt;width:477pt;z-index:251663360;mso-width-relative:page;mso-height-relative:page;" filled="f" stroked="t" coordsize="21600,21600" o:gfxdata="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&#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dvgATSAAAACAEAAA8AAAAAAAAAAQAgAAAAIgAAAGRy&#10;cy9kb3ducmV2LnhtbFBLAQIUABQAAAAIAIdO4kCf/ap60gEAAM0DAAAOAAAAAAAAAAEAIAAAACEB&#10;AABkcnMvZTJvRG9jLnhtbFBLBQYAAAAABgAGAFkBAABlBQAAAAA=&#10;">
                <v:fill on="f" focussize="0,0"/>
                <v:stroke color="#000000" joinstyle="round"/>
                <v:imagedata o:title=""/>
                <o:lock v:ext="edit" aspectratio="f"/>
              </v:line>
            </w:pict>
          </mc:Fallback>
        </mc:AlternateContent>
      </w:r>
    </w:p>
    <w:p>
      <w:pPr>
        <w:bidi w:val="0"/>
        <w:ind w:firstLine="1124" w:firstLineChars="400"/>
        <w:jc w:val="both"/>
        <w:rPr>
          <w:rFonts w:hint="eastAsia" w:eastAsia="宋体"/>
          <w:b/>
          <w:bCs/>
          <w:sz w:val="28"/>
          <w:szCs w:val="36"/>
          <w:lang w:eastAsia="zh-CN"/>
        </w:rPr>
      </w:pPr>
      <w:r>
        <w:rPr>
          <w:b/>
          <w:bCs/>
          <w:sz w:val="28"/>
          <w:szCs w:val="36"/>
        </w:rPr>
        <w:t>2022年</w:t>
      </w:r>
      <w:r>
        <w:rPr>
          <w:rFonts w:hint="eastAsia"/>
          <w:b/>
          <w:bCs/>
          <w:sz w:val="28"/>
          <w:szCs w:val="36"/>
          <w:lang w:val="en-US" w:eastAsia="zh-CN"/>
        </w:rPr>
        <w:t>10</w:t>
      </w:r>
      <w:r>
        <w:rPr>
          <w:b/>
          <w:bCs/>
          <w:sz w:val="28"/>
          <w:szCs w:val="36"/>
        </w:rPr>
        <w:t>月</w:t>
      </w:r>
      <w:r>
        <w:rPr>
          <w:rFonts w:hint="eastAsia"/>
          <w:b/>
          <w:bCs/>
          <w:sz w:val="28"/>
          <w:szCs w:val="36"/>
          <w:lang w:val="en-US" w:eastAsia="zh-CN"/>
        </w:rPr>
        <w:t>9</w:t>
      </w:r>
      <w:r>
        <w:rPr>
          <w:b/>
          <w:bCs/>
          <w:sz w:val="28"/>
          <w:szCs w:val="36"/>
        </w:rPr>
        <w:t>日-</w:t>
      </w:r>
      <w:r>
        <w:rPr>
          <w:rFonts w:hint="eastAsia"/>
          <w:b/>
          <w:bCs/>
          <w:sz w:val="28"/>
          <w:szCs w:val="36"/>
          <w:lang w:val="en-US" w:eastAsia="zh-CN"/>
        </w:rPr>
        <w:t>11</w:t>
      </w:r>
      <w:r>
        <w:rPr>
          <w:b/>
          <w:bCs/>
          <w:sz w:val="28"/>
          <w:szCs w:val="36"/>
        </w:rPr>
        <w:t>日</w:t>
      </w:r>
      <w:r>
        <w:rPr>
          <w:rFonts w:hint="eastAsia"/>
          <w:b/>
          <w:bCs/>
          <w:sz w:val="28"/>
          <w:szCs w:val="36"/>
          <w:lang w:val="en-US" w:eastAsia="zh-CN"/>
        </w:rPr>
        <w:t xml:space="preserve">       成都世纪城新国际会展中心</w:t>
      </w:r>
    </w:p>
    <w:p>
      <w:pPr>
        <w:spacing w:line="320" w:lineRule="exact"/>
        <w:rPr>
          <w:rFonts w:ascii="Arial" w:hAnsi="Arial" w:cs="Arial"/>
          <w:b/>
          <w:bCs/>
          <w:sz w:val="28"/>
        </w:rPr>
      </w:pPr>
    </w:p>
    <w:p>
      <w:pPr>
        <w:spacing w:line="440" w:lineRule="exact"/>
        <w:rPr>
          <w:rFonts w:hint="eastAsia" w:asciiTheme="minorEastAsia" w:hAnsiTheme="minorEastAsia" w:eastAsiaTheme="minorEastAsia" w:cstheme="minorEastAsia"/>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主办单位</w:t>
      </w:r>
    </w:p>
    <w:p>
      <w:pPr>
        <w:spacing w:line="360" w:lineRule="auto"/>
        <w:jc w:val="center"/>
        <w:rPr>
          <w:rFonts w:hint="eastAsia" w:asciiTheme="minorEastAsia" w:hAnsiTheme="minorEastAsia" w:eastAsiaTheme="minorEastAsia" w:cstheme="minorEastAsia"/>
          <w:bCs/>
          <w:spacing w:val="20"/>
          <w:szCs w:val="21"/>
        </w:rPr>
      </w:pPr>
      <w:r>
        <w:rPr>
          <w:rFonts w:hint="eastAsia" w:asciiTheme="minorEastAsia" w:hAnsiTheme="minorEastAsia" w:eastAsiaTheme="minorEastAsia" w:cstheme="minorEastAsia"/>
          <w:bCs/>
          <w:spacing w:val="20"/>
          <w:szCs w:val="21"/>
        </w:rPr>
        <w:t>振威国际会展集团</w:t>
      </w:r>
    </w:p>
    <w:p>
      <w:pPr>
        <w:spacing w:line="360" w:lineRule="auto"/>
        <w:jc w:val="center"/>
        <w:rPr>
          <w:rFonts w:ascii="Arial" w:hAnsi="宋体" w:cs="Arial"/>
          <w:bCs/>
          <w:spacing w:val="20"/>
          <w:szCs w:val="21"/>
        </w:rPr>
      </w:pPr>
      <w:r>
        <w:rPr>
          <w:rFonts w:hint="eastAsia" w:asciiTheme="minorEastAsia" w:hAnsiTheme="minorEastAsia" w:eastAsiaTheme="minorEastAsia" w:cstheme="minorEastAsia"/>
          <w:bCs/>
          <w:spacing w:val="20"/>
          <w:szCs w:val="21"/>
        </w:rPr>
        <w:t>北京振威展览有限公司</w:t>
      </w:r>
    </w:p>
    <w:p>
      <w:pPr>
        <w:spacing w:line="440" w:lineRule="exact"/>
        <w:jc w:val="center"/>
        <w:rPr>
          <w:rFonts w:ascii="Arial" w:hAnsi="宋体" w:cs="Arial"/>
          <w:b/>
          <w:bCs/>
          <w:spacing w:val="20"/>
          <w:szCs w:val="21"/>
        </w:rPr>
      </w:pPr>
    </w:p>
    <w:p>
      <w:pPr>
        <w:spacing w:line="360" w:lineRule="auto"/>
        <w:jc w:val="center"/>
        <w:rPr>
          <w:rFonts w:hint="eastAsia" w:asciiTheme="minorEastAsia" w:hAnsiTheme="minorEastAsia" w:eastAsiaTheme="minorEastAsia" w:cstheme="minorEastAsia"/>
          <w:b/>
          <w:bCs/>
          <w:spacing w:val="20"/>
          <w:sz w:val="24"/>
        </w:rPr>
      </w:pPr>
      <w:r>
        <w:rPr>
          <w:rFonts w:hint="eastAsia" w:asciiTheme="minorEastAsia" w:hAnsiTheme="minorEastAsia" w:eastAsiaTheme="minorEastAsia" w:cstheme="minorEastAsia"/>
          <w:b/>
          <w:bCs/>
          <w:spacing w:val="20"/>
          <w:sz w:val="24"/>
        </w:rPr>
        <w:t>支持单位</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中国石油和化学工业联合会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中国石油和石油化工设备工业协会</w:t>
      </w:r>
    </w:p>
    <w:p>
      <w:pPr>
        <w:widowControl/>
        <w:spacing w:line="360" w:lineRule="auto"/>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中国电器工业协会防爆电器分会</w:t>
      </w:r>
    </w:p>
    <w:p>
      <w:pPr>
        <w:spacing w:line="420" w:lineRule="exact"/>
        <w:ind w:right="372" w:rightChars="177"/>
        <w:rPr>
          <w:rFonts w:ascii="Arial" w:hAnsi="宋体" w:cs="Arial"/>
          <w:b/>
          <w:bCs/>
          <w:szCs w:val="21"/>
          <w:shd w:val="pct10" w:color="auto" w:fill="FFFFFF"/>
        </w:rPr>
      </w:pPr>
    </w:p>
    <w:p>
      <w:pPr>
        <w:spacing w:line="420" w:lineRule="exact"/>
        <w:ind w:right="372" w:rightChars="177"/>
        <w:rPr>
          <w:rFonts w:ascii="Arial" w:hAnsi="宋体" w:cs="Arial"/>
          <w:b/>
          <w:bCs/>
          <w:szCs w:val="21"/>
          <w:shd w:val="pct10" w:color="auto" w:fill="FFFFFF"/>
        </w:rPr>
      </w:pPr>
      <w:r>
        <w:drawing>
          <wp:anchor distT="0" distB="0" distL="114300" distR="114300" simplePos="0" relativeHeight="251664384" behindDoc="1" locked="0" layoutInCell="1" allowOverlap="1">
            <wp:simplePos x="0" y="0"/>
            <wp:positionH relativeFrom="column">
              <wp:posOffset>2473325</wp:posOffset>
            </wp:positionH>
            <wp:positionV relativeFrom="paragraph">
              <wp:posOffset>229870</wp:posOffset>
            </wp:positionV>
            <wp:extent cx="1276350" cy="842645"/>
            <wp:effectExtent l="0" t="0" r="0" b="14605"/>
            <wp:wrapNone/>
            <wp:docPr id="9"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3"/>
                    <pic:cNvPicPr>
                      <a:picLocks noChangeAspect="1"/>
                    </pic:cNvPicPr>
                  </pic:nvPicPr>
                  <pic:blipFill>
                    <a:blip r:embed="rId6"/>
                    <a:stretch>
                      <a:fillRect/>
                    </a:stretch>
                  </pic:blipFill>
                  <pic:spPr>
                    <a:xfrm>
                      <a:off x="0" y="0"/>
                      <a:ext cx="1276350" cy="842645"/>
                    </a:xfrm>
                    <a:prstGeom prst="rect">
                      <a:avLst/>
                    </a:prstGeom>
                    <a:noFill/>
                    <a:ln>
                      <a:noFill/>
                    </a:ln>
                  </pic:spPr>
                </pic:pic>
              </a:graphicData>
            </a:graphic>
          </wp:anchor>
        </w:drawing>
      </w:r>
    </w:p>
    <w:p>
      <w:pPr>
        <w:spacing w:line="420" w:lineRule="exact"/>
        <w:ind w:right="372" w:rightChars="177"/>
        <w:rPr>
          <w:rFonts w:ascii="Arial" w:hAnsi="宋体" w:cs="Arial"/>
          <w:b/>
          <w:bCs/>
          <w:szCs w:val="21"/>
          <w:shd w:val="pct10" w:color="auto" w:fill="FFFFFF"/>
        </w:rPr>
      </w:pPr>
    </w:p>
    <w:p>
      <w:pPr>
        <w:pStyle w:val="2"/>
        <w:ind w:left="0" w:leftChars="0" w:firstLine="0" w:firstLineChars="0"/>
        <w:rPr>
          <w:rFonts w:hint="eastAsia"/>
          <w:lang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行业盛会，打造油气领域创新高地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西南油气资源在我国油气行业的地位历来举足轻重，</w:t>
      </w:r>
      <w:r>
        <w:rPr>
          <w:rFonts w:hint="eastAsia" w:asciiTheme="minorEastAsia" w:hAnsiTheme="minorEastAsia" w:eastAsiaTheme="minorEastAsia" w:cstheme="minorEastAsia"/>
          <w:sz w:val="21"/>
          <w:szCs w:val="21"/>
          <w:lang w:val="en-US" w:eastAsia="zh-CN"/>
        </w:rPr>
        <w:t>2021年12月2日，蜀南气矿年产油气当量突破千万吨，达到1000.8万吨。</w:t>
      </w:r>
      <w:r>
        <w:rPr>
          <w:rFonts w:hint="eastAsia" w:asciiTheme="minorEastAsia" w:hAnsiTheme="minorEastAsia" w:eastAsiaTheme="minorEastAsia" w:cstheme="minorEastAsia"/>
          <w:sz w:val="21"/>
          <w:szCs w:val="21"/>
          <w:lang w:eastAsia="zh-CN"/>
        </w:rPr>
        <w:t>“十四五”时期，中国能源发展将进入转型加速期，绿色化、高端化以及差异化的发展将为石油石化产业创造更多细分领域的新机遇，在绿色、安全、智慧和创新的目标指引下，消费升级与供给侧结构性改革，推动着行业发展的深度变革。作为一年一度的世界石油天然气大会，cippe一直以“服务企业，助推产业”为己任，展会已逐渐覆盖华北、华东以及西南市场，成为服务于我国油气及石油化工领域的一站式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2022年</w:t>
      </w:r>
      <w:r>
        <w:rPr>
          <w:rFonts w:hint="eastAsia" w:asciiTheme="minorEastAsia" w:hAnsiTheme="minorEastAsia" w:eastAsiaTheme="minorEastAsia" w:cstheme="minorEastAsia"/>
          <w:sz w:val="21"/>
          <w:szCs w:val="21"/>
          <w:lang w:val="en-US" w:eastAsia="zh-CN"/>
        </w:rPr>
        <w:t>10月9-11日</w:t>
      </w:r>
      <w:r>
        <w:rPr>
          <w:rFonts w:hint="eastAsia" w:asciiTheme="minorEastAsia" w:hAnsiTheme="minorEastAsia" w:eastAsiaTheme="minorEastAsia" w:cstheme="minorEastAsia"/>
          <w:sz w:val="21"/>
          <w:szCs w:val="21"/>
          <w:lang w:eastAsia="zh-CN"/>
        </w:rPr>
        <w:t>，中国（成都）国际石油石化技术装备展览会（cippe成都石油展）将在</w:t>
      </w:r>
      <w:r>
        <w:rPr>
          <w:rFonts w:hint="eastAsia" w:asciiTheme="minorEastAsia" w:hAnsiTheme="minorEastAsia" w:eastAsiaTheme="minorEastAsia" w:cstheme="minorEastAsia"/>
          <w:sz w:val="21"/>
          <w:szCs w:val="21"/>
          <w:lang w:val="en-US" w:eastAsia="zh-CN"/>
        </w:rPr>
        <w:t>成都世纪城新国际会展中心</w:t>
      </w:r>
      <w:r>
        <w:rPr>
          <w:rFonts w:hint="eastAsia" w:asciiTheme="minorEastAsia" w:hAnsiTheme="minorEastAsia" w:eastAsiaTheme="minorEastAsia" w:cstheme="minorEastAsia"/>
          <w:sz w:val="21"/>
          <w:szCs w:val="21"/>
          <w:lang w:eastAsia="zh-CN"/>
        </w:rPr>
        <w:t>举办，总览面积</w:t>
      </w:r>
      <w:r>
        <w:rPr>
          <w:rFonts w:hint="eastAsia" w:asciiTheme="minorEastAsia" w:hAnsiTheme="minorEastAsia" w:eastAsiaTheme="minorEastAsia" w:cstheme="minorEastAsia"/>
          <w:sz w:val="21"/>
          <w:szCs w:val="21"/>
          <w:lang w:val="en-US" w:eastAsia="zh-CN"/>
        </w:rPr>
        <w:t>30</w:t>
      </w:r>
      <w:r>
        <w:rPr>
          <w:rFonts w:hint="eastAsia" w:asciiTheme="minorEastAsia" w:hAnsiTheme="minorEastAsia" w:eastAsiaTheme="minorEastAsia" w:cstheme="minorEastAsia"/>
          <w:sz w:val="21"/>
          <w:szCs w:val="21"/>
          <w:lang w:eastAsia="zh-CN"/>
        </w:rPr>
        <w:t>,000平方米，</w:t>
      </w:r>
      <w:r>
        <w:rPr>
          <w:rFonts w:hint="eastAsia" w:asciiTheme="minorEastAsia" w:hAnsiTheme="minorEastAsia" w:eastAsiaTheme="minorEastAsia" w:cstheme="minorEastAsia"/>
          <w:sz w:val="21"/>
          <w:szCs w:val="21"/>
        </w:rPr>
        <w:t>来自</w:t>
      </w:r>
      <w:r>
        <w:rPr>
          <w:rFonts w:hint="eastAsia" w:asciiTheme="minorEastAsia" w:hAnsiTheme="minorEastAsia" w:eastAsiaTheme="minorEastAsia" w:cstheme="minorEastAsia"/>
          <w:sz w:val="21"/>
          <w:szCs w:val="21"/>
          <w:lang w:eastAsia="zh-CN"/>
        </w:rPr>
        <w:t>全国各地区的</w:t>
      </w:r>
      <w:r>
        <w:rPr>
          <w:rFonts w:hint="eastAsia" w:asciiTheme="minorEastAsia" w:hAnsiTheme="minorEastAsia" w:eastAsiaTheme="minorEastAsia" w:cstheme="minorEastAsia"/>
          <w:sz w:val="21"/>
          <w:szCs w:val="21"/>
          <w:lang w:val="en-US" w:eastAsia="zh-CN"/>
        </w:rPr>
        <w:t>40</w:t>
      </w:r>
      <w:r>
        <w:rPr>
          <w:rFonts w:hint="eastAsia" w:asciiTheme="minorEastAsia" w:hAnsiTheme="minorEastAsia" w:eastAsiaTheme="minorEastAsia" w:cstheme="minorEastAsia"/>
          <w:sz w:val="21"/>
          <w:szCs w:val="21"/>
          <w:lang w:eastAsia="zh-CN"/>
        </w:rPr>
        <w:t>0家企业将亮相展会现场，预计吸引国内外</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lang w:eastAsia="zh-CN"/>
        </w:rPr>
        <w:t>万人次的专业观众到场参观。</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同期论坛，促进前沿技术深入交流</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展会同期举行“2022石油石化产业高峰论坛”，打造西部石油行业高品质峰会，将邀请行业协会</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石油石化装备制造企业、行业</w:t>
      </w:r>
      <w:r>
        <w:rPr>
          <w:rFonts w:hint="eastAsia" w:asciiTheme="minorEastAsia" w:hAnsiTheme="minorEastAsia" w:eastAsiaTheme="minorEastAsia" w:cstheme="minorEastAsia"/>
          <w:sz w:val="21"/>
          <w:szCs w:val="21"/>
          <w:lang w:eastAsia="zh-CN"/>
        </w:rPr>
        <w:t>科研院所、</w:t>
      </w:r>
      <w:r>
        <w:rPr>
          <w:rFonts w:hint="eastAsia" w:asciiTheme="minorEastAsia" w:hAnsiTheme="minorEastAsia" w:eastAsiaTheme="minorEastAsia" w:cstheme="minorEastAsia"/>
          <w:sz w:val="21"/>
          <w:szCs w:val="21"/>
          <w:lang w:val="en-US" w:eastAsia="zh-CN"/>
        </w:rPr>
        <w:t>行业</w:t>
      </w:r>
      <w:r>
        <w:rPr>
          <w:rFonts w:hint="eastAsia" w:asciiTheme="minorEastAsia" w:hAnsiTheme="minorEastAsia" w:eastAsiaTheme="minorEastAsia" w:cstheme="minorEastAsia"/>
          <w:sz w:val="21"/>
          <w:szCs w:val="21"/>
          <w:lang w:eastAsia="zh-CN"/>
        </w:rPr>
        <w:t>权威媒体等业界大咖齐聚一堂，探讨行业热点及痛点，</w:t>
      </w:r>
      <w:r>
        <w:rPr>
          <w:rFonts w:hint="eastAsia" w:asciiTheme="minorEastAsia" w:hAnsiTheme="minorEastAsia" w:eastAsiaTheme="minorEastAsia" w:cstheme="minorEastAsia"/>
          <w:sz w:val="21"/>
          <w:szCs w:val="21"/>
          <w:lang w:val="en-US" w:eastAsia="zh-CN"/>
        </w:rPr>
        <w:t>把脉行业发展趋势，</w:t>
      </w:r>
      <w:r>
        <w:rPr>
          <w:rFonts w:hint="eastAsia" w:asciiTheme="minorEastAsia" w:hAnsiTheme="minorEastAsia" w:eastAsiaTheme="minorEastAsia" w:cstheme="minorEastAsia"/>
          <w:sz w:val="21"/>
          <w:szCs w:val="21"/>
          <w:lang w:eastAsia="zh-CN"/>
        </w:rPr>
        <w:t>实现资源、技术、信息、科技成果有效对接。</w:t>
      </w:r>
    </w:p>
    <w:p>
      <w:pPr>
        <w:spacing w:line="360" w:lineRule="auto"/>
        <w:rPr>
          <w:rFonts w:hint="eastAsia" w:ascii="微软雅黑" w:hAnsi="微软雅黑" w:eastAsia="微软雅黑"/>
          <w:b/>
          <w:sz w:val="22"/>
          <w:szCs w:val="22"/>
          <w:lang w:val="en-US" w:eastAsia="zh-CN"/>
        </w:rPr>
      </w:pPr>
      <w:r>
        <w:rPr>
          <w:rFonts w:hint="eastAsia" w:ascii="微软雅黑" w:hAnsi="微软雅黑" w:eastAsia="微软雅黑"/>
          <w:b/>
          <w:sz w:val="22"/>
          <w:szCs w:val="22"/>
          <w:lang w:val="en-US" w:eastAsia="zh-CN"/>
        </w:rPr>
        <w:t>采购活动，搭建高效供求交易平台</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cippe买家采购对接会”是cippe成都石油展重点打造的品牌活动，旨在为供求双方打造一个高效、精准、可信赖的供求交流平台。组委会投入重金，深度挖掘意向采购客户，并为意向买家提供交通、住宿、个性化接待等全程VIP服务。组委会根据买家的采购需求，精准匹配优质展商，促进供求双方深度交流，实现线上线下完美融合。</w:t>
      </w:r>
    </w:p>
    <w:p>
      <w:pPr>
        <w:spacing w:line="360" w:lineRule="auto"/>
        <w:rPr>
          <w:rFonts w:asciiTheme="minorEastAsia" w:hAnsiTheme="minorEastAsia" w:eastAsiaTheme="minorEastAsia" w:cstheme="minorEastAsia"/>
          <w:b/>
          <w:bCs/>
          <w:sz w:val="22"/>
          <w:szCs w:val="22"/>
          <w:shd w:val="clear" w:color="auto" w:fill="FFFFFF"/>
        </w:rPr>
      </w:pPr>
      <w:r>
        <w:rPr>
          <w:rFonts w:hint="eastAsia" w:ascii="微软雅黑" w:hAnsi="微软雅黑" w:eastAsia="微软雅黑"/>
          <w:b/>
          <w:sz w:val="22"/>
          <w:szCs w:val="22"/>
          <w:lang w:val="en-US" w:eastAsia="zh-CN"/>
        </w:rPr>
        <w:t>展会联动，全力保障行业专业观众</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主办方振威国际会展集团是我国石油石化领域最专业的展览公司，沉淀行业20余年，积累了深厚的行业资源，旗下cippe北京石油展、cippe上海石化展均为石油石化行业首屈一指的品牌展会。本届展会是振威国际会展集团布局西南石油石化市场的第一展，集团将导入优质行业资源，助力成都国际石油石化技术装备展跨越式发展。秉承振威会展“专业观众是展会生命力”的办展宗旨，主办方精准把握展商需求，锁定重点行业，组织核心买家群。常年通过电话、邮件、短信、网络推广、大数据营销、媒体发布、行业协会合作等多种渠道，锁定重点区域与重点行业，进行全方位展会观众邀约，切实保障企业参展成效。</w:t>
      </w:r>
    </w:p>
    <w:p>
      <w:pPr>
        <w:widowControl/>
        <w:spacing w:line="360" w:lineRule="auto"/>
        <w:jc w:val="left"/>
        <w:rPr>
          <w:rFonts w:ascii="微软雅黑" w:hAnsi="微软雅黑" w:eastAsia="微软雅黑"/>
          <w:b/>
          <w:sz w:val="22"/>
          <w:szCs w:val="22"/>
        </w:rPr>
      </w:pPr>
      <w:r>
        <w:rPr>
          <w:rFonts w:hint="eastAsia" w:ascii="微软雅黑" w:hAnsi="微软雅黑" w:eastAsia="微软雅黑"/>
          <w:b/>
          <w:sz w:val="22"/>
          <w:szCs w:val="22"/>
          <w:lang w:val="en-US" w:eastAsia="zh-CN"/>
        </w:rPr>
        <w:t>品牌传播</w:t>
      </w:r>
      <w:r>
        <w:rPr>
          <w:rFonts w:hint="eastAsia" w:ascii="微软雅黑" w:hAnsi="微软雅黑" w:eastAsia="微软雅黑"/>
          <w:b/>
          <w:sz w:val="22"/>
          <w:szCs w:val="22"/>
        </w:rPr>
        <w:t>，</w:t>
      </w:r>
      <w:r>
        <w:rPr>
          <w:rFonts w:hint="eastAsia" w:ascii="微软雅黑" w:hAnsi="微软雅黑" w:eastAsia="微软雅黑"/>
          <w:b/>
          <w:sz w:val="22"/>
          <w:szCs w:val="22"/>
          <w:lang w:val="en-US" w:eastAsia="zh-CN"/>
        </w:rPr>
        <w:t>优质媒体助力全程报道</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展会将邀请新华社、人民日报、中央电视台、中国日报、中国石油报、中国石化报、石油商报、Upstream、Worldoils、 Digital Refining、Oil &amp; Gas Product News、Gulfoilfield Directory、中国证券报、上海证券报、第一财经日报、华尔街日报及新华网、新浪、搜狐、人民网等国内外上千家媒体进行报道。</w:t>
      </w: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p>
    <w:p>
      <w:pPr>
        <w:spacing w:line="480" w:lineRule="auto"/>
        <w:rPr>
          <w:rFonts w:hint="eastAsia" w:ascii="Arial" w:hAnsi="宋体" w:cs="Arial"/>
          <w:b/>
          <w:bCs/>
          <w:sz w:val="22"/>
          <w:szCs w:val="22"/>
          <w:shd w:val="pct10" w:color="auto" w:fill="FFFFFF"/>
          <w:lang w:eastAsia="zh-CN"/>
        </w:rPr>
      </w:pPr>
      <w:r>
        <w:rPr>
          <w:rFonts w:hint="eastAsia" w:ascii="Arial" w:hAnsi="宋体" w:cs="Arial"/>
          <w:b/>
          <w:bCs/>
          <w:sz w:val="22"/>
          <w:szCs w:val="22"/>
          <w:shd w:val="pct10" w:color="auto" w:fill="FFFFFF"/>
          <w:lang w:eastAsia="zh-CN"/>
        </w:rPr>
        <w:t>展会日程：</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报到布展：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7</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8</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展示交易：202</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9</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 xml:space="preserve">日 </w:t>
      </w:r>
    </w:p>
    <w:p>
      <w:pPr>
        <w:spacing w:line="420" w:lineRule="exac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闭幕撤展：</w:t>
      </w:r>
      <w:r>
        <w:rPr>
          <w:rFonts w:hint="eastAsia" w:asciiTheme="minorEastAsia" w:hAnsiTheme="minorEastAsia" w:eastAsiaTheme="minorEastAsia" w:cstheme="minorEastAsia"/>
          <w:sz w:val="21"/>
          <w:szCs w:val="21"/>
          <w:lang w:val="en-US" w:eastAsia="zh-CN"/>
        </w:rPr>
        <w:t>2022</w:t>
      </w:r>
      <w:r>
        <w:rPr>
          <w:rFonts w:hint="eastAsia" w:asciiTheme="minorEastAsia" w:hAnsiTheme="minorEastAsia" w:eastAsiaTheme="minorEastAsia" w:cstheme="minorEastAsia"/>
          <w:sz w:val="21"/>
          <w:szCs w:val="21"/>
        </w:rPr>
        <w:t>年</w:t>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rPr>
        <w:t>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rPr>
        <w:t>日下午14：00</w:t>
      </w:r>
    </w:p>
    <w:p>
      <w:pPr>
        <w:spacing w:line="480" w:lineRule="auto"/>
        <w:rPr>
          <w:rFonts w:ascii="Arial" w:hAnsi="宋体" w:cs="Arial"/>
          <w:b/>
          <w:bCs/>
          <w:sz w:val="22"/>
          <w:szCs w:val="22"/>
          <w:shd w:val="pct10" w:color="auto" w:fill="FFFFFF"/>
        </w:rPr>
      </w:pPr>
      <w:r>
        <w:rPr>
          <w:rFonts w:ascii="Arial" w:hAnsi="宋体" w:cs="Arial"/>
          <w:b/>
          <w:bCs/>
          <w:sz w:val="22"/>
          <w:szCs w:val="22"/>
          <w:shd w:val="pct10" w:color="auto" w:fill="FFFFFF"/>
        </w:rPr>
        <w:t>如果您是下列产品的供应商，请即预定展位</w:t>
      </w:r>
    </w:p>
    <w:tbl>
      <w:tblPr>
        <w:tblStyle w:val="9"/>
        <w:tblW w:w="1045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53" w:type="dxa"/>
          </w:tcPr>
          <w:p>
            <w:pPr>
              <w:spacing w:line="280" w:lineRule="exact"/>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pPr>
            <w:r>
              <w:rPr>
                <w:rFonts w:hint="eastAsia" w:cs="Arial" w:asciiTheme="minorEastAsia" w:hAnsiTheme="minorEastAsia" w:eastAsiaTheme="minorEastAsia"/>
                <w:color w:val="000000" w:themeColor="text1"/>
                <w:sz w:val="20"/>
                <w:szCs w:val="20"/>
                <w14:textFill>
                  <w14:solidFill>
                    <w14:schemeClr w14:val="tx1"/>
                  </w14:solidFill>
                </w14:textFill>
              </w:rPr>
              <w:sym w:font="Wingdings" w:char="F0A8"/>
            </w:r>
            <w:r>
              <w:rPr>
                <w:rFonts w:cs="Arial" w:asciiTheme="minorEastAsia" w:hAnsiTheme="minorEastAsia" w:eastAsiaTheme="minorEastAsia"/>
                <w:color w:val="000000" w:themeColor="text1"/>
                <w:sz w:val="20"/>
                <w:szCs w:val="20"/>
                <w14:textFill>
                  <w14:solidFill>
                    <w14:schemeClr w14:val="tx1"/>
                  </w14:solidFill>
                </w14:textFill>
              </w:rPr>
              <w:t xml:space="preserve"> 油气勘探开发</w:t>
            </w:r>
            <w:r>
              <w:rPr>
                <w:rFonts w:hint="eastAsia" w:cs="Arial" w:asciiTheme="minorEastAsia" w:hAnsiTheme="minorEastAsia" w:eastAsiaTheme="minorEastAsia"/>
                <w:color w:val="000000" w:themeColor="text1"/>
                <w:sz w:val="20"/>
                <w:szCs w:val="20"/>
                <w14:textFill>
                  <w14:solidFill>
                    <w14:schemeClr w14:val="tx1"/>
                  </w14:solidFill>
                </w14:textFill>
              </w:rPr>
              <w:t>技术与装备</w:t>
            </w:r>
            <w:r>
              <w:rPr>
                <w:rFonts w:hint="eastAsia" w:cs="Arial" w:asciiTheme="minorEastAsia" w:hAnsiTheme="minorEastAsia" w:eastAsiaTheme="minorEastAsia"/>
                <w:color w:val="000000" w:themeColor="text1"/>
                <w:sz w:val="20"/>
                <w:szCs w:val="20"/>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cs="Arial" w:asciiTheme="minorEastAsia" w:hAnsiTheme="minorEastAsia" w:eastAsiaTheme="minorEastAsia"/>
                <w:color w:val="000000" w:themeColor="text1"/>
                <w:sz w:val="20"/>
                <w:szCs w:val="20"/>
                <w:highlight w:val="none"/>
                <w14:textFill>
                  <w14:solidFill>
                    <w14:schemeClr w14:val="tx1"/>
                  </w14:solidFill>
                </w14:textFill>
              </w:rPr>
              <w:t>物探、测井、钻井技术与设备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完井技术与装备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海洋工程技术与装备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天然气技术与装备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自动化技术装备、仪器仪表</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油气田地面工程技术及装备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石油石化设备与制造</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工业防爆产品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油气管道建设工程技术</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与</w:t>
            </w:r>
            <w:r>
              <w:rPr>
                <w:rFonts w:cs="Arial" w:asciiTheme="minorEastAsia" w:hAnsiTheme="minorEastAsia" w:eastAsiaTheme="minorEastAsia"/>
                <w:color w:val="000000" w:themeColor="text1"/>
                <w:sz w:val="20"/>
                <w:szCs w:val="20"/>
                <w:highlight w:val="none"/>
                <w14:textFill>
                  <w14:solidFill>
                    <w14:schemeClr w14:val="tx1"/>
                  </w14:solidFill>
                </w14:textFill>
              </w:rPr>
              <w:t>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管道非开挖技术与装备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发电机组</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w:t>
            </w:r>
            <w:r>
              <w:rPr>
                <w:rFonts w:cs="Arial" w:asciiTheme="minorEastAsia" w:hAnsiTheme="minorEastAsia" w:eastAsiaTheme="minorEastAsia"/>
                <w:color w:val="000000" w:themeColor="text1"/>
                <w:sz w:val="20"/>
                <w:szCs w:val="20"/>
                <w:highlight w:val="none"/>
                <w14:textFill>
                  <w14:solidFill>
                    <w14:schemeClr w14:val="tx1"/>
                  </w14:solidFill>
                </w14:textFill>
              </w:rPr>
              <w:t>动力设备</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油气储运技术与设备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油田特种车辆</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电工电气设备、电线电缆产品</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石油炼制工艺与技术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石化工艺与技术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设备检修、维护与管理</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流体机械设备与技术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 xml:space="preserve">压力容器 </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燃油与润滑油技术与设备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石化产品和先进材料</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加油加气站设备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环保、节能技术设备</w:t>
            </w:r>
          </w:p>
          <w:p>
            <w:pPr>
              <w:spacing w:line="280" w:lineRule="exact"/>
              <w:rPr>
                <w:rFonts w:ascii="Arial" w:hAnsi="宋体" w:cs="Arial"/>
                <w:b/>
                <w:bCs/>
                <w:color w:val="000000" w:themeColor="text1"/>
                <w:sz w:val="20"/>
                <w:szCs w:val="20"/>
                <w:highlight w:val="none"/>
                <w:shd w:val="pct10" w:color="auto" w:fill="FFFFFF"/>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消防、预警技术设备与安全防护产品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工业清洗及防腐技术材料与</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包装</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密封</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垫圈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紧固件</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轴承</w:t>
            </w:r>
          </w:p>
          <w:p>
            <w:pPr>
              <w:spacing w:line="280" w:lineRule="exact"/>
              <w:rPr>
                <w:rFonts w:cs="Arial" w:asciiTheme="minorEastAsia" w:hAnsiTheme="minorEastAsia" w:eastAsiaTheme="minorEastAsia"/>
                <w:color w:val="000000" w:themeColor="text1"/>
                <w:sz w:val="20"/>
                <w:szCs w:val="20"/>
                <w:highlight w:val="none"/>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油气数字化解决方案</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通信与信息技术</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其他配件</w:t>
            </w:r>
          </w:p>
          <w:p>
            <w:pPr>
              <w:spacing w:line="280" w:lineRule="exact"/>
              <w:rPr>
                <w:rFonts w:cs="Arial" w:asciiTheme="minorEastAsia" w:hAnsiTheme="minorEastAsia" w:eastAsiaTheme="minorEastAsia"/>
                <w:color w:val="000000" w:themeColor="text1"/>
                <w:sz w:val="20"/>
                <w:szCs w:val="20"/>
                <w14:textFill>
                  <w14:solidFill>
                    <w14:schemeClr w14:val="tx1"/>
                  </w14:solidFill>
                </w14:textFill>
              </w:rPr>
            </w:pP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氢能技术与装备</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0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t>认证、咨询服务</w:t>
            </w:r>
            <w:r>
              <w:rPr>
                <w:rFonts w:hint="eastAsia" w:cs="Arial" w:asciiTheme="minorEastAsia" w:hAnsiTheme="minorEastAsia" w:eastAsiaTheme="minorEastAsia"/>
                <w:color w:val="000000" w:themeColor="text1"/>
                <w:sz w:val="20"/>
                <w:szCs w:val="20"/>
                <w:highlight w:val="none"/>
                <w:lang w:val="en-US" w:eastAsia="zh-CN"/>
                <w14:textFill>
                  <w14:solidFill>
                    <w14:schemeClr w14:val="tx1"/>
                  </w14:solidFill>
                </w14:textFill>
              </w:rPr>
              <w:t xml:space="preserve">                 </w:t>
            </w:r>
            <w:r>
              <w:rPr>
                <w:rFonts w:hint="eastAsia" w:cs="Arial" w:asciiTheme="minorEastAsia" w:hAnsiTheme="minorEastAsia" w:eastAsiaTheme="minorEastAsia"/>
                <w:color w:val="000000" w:themeColor="text1"/>
                <w:sz w:val="20"/>
                <w:szCs w:val="20"/>
                <w:highlight w:val="none"/>
                <w14:textFill>
                  <w14:solidFill>
                    <w14:schemeClr w14:val="tx1"/>
                  </w14:solidFill>
                </w14:textFill>
              </w:rPr>
              <w:sym w:font="Wingdings" w:char="F0A8"/>
            </w:r>
            <w:r>
              <w:rPr>
                <w:rFonts w:cs="Arial" w:asciiTheme="minorEastAsia" w:hAnsiTheme="minorEastAsia" w:eastAsiaTheme="minorEastAsia"/>
                <w:color w:val="000000" w:themeColor="text1"/>
                <w:sz w:val="20"/>
                <w:szCs w:val="20"/>
                <w:highlight w:val="none"/>
                <w14:textFill>
                  <w14:solidFill>
                    <w14:schemeClr w14:val="tx1"/>
                  </w14:solidFill>
                </w14:textFill>
              </w:rPr>
              <w:t xml:space="preserve"> 石油石化科研及实验室技术设备</w:t>
            </w:r>
          </w:p>
        </w:tc>
      </w:tr>
    </w:tbl>
    <w:p>
      <w:pPr>
        <w:spacing w:line="480" w:lineRule="auto"/>
        <w:rPr>
          <w:rFonts w:ascii="Arial" w:hAnsi="宋体" w:cs="Arial"/>
          <w:b/>
          <w:bCs/>
          <w:sz w:val="20"/>
          <w:szCs w:val="20"/>
          <w:shd w:val="pct10" w:color="auto" w:fill="FFFFFF"/>
        </w:rPr>
      </w:pPr>
      <w:r>
        <w:rPr>
          <w:rFonts w:ascii="Arial" w:hAnsi="宋体" w:cs="Arial"/>
          <w:b/>
          <w:bCs/>
          <w:sz w:val="20"/>
          <w:szCs w:val="20"/>
          <w:shd w:val="pct10" w:color="auto" w:fill="FFFFFF"/>
        </w:rPr>
        <w:t>参展细则</w:t>
      </w:r>
      <w:r>
        <w:rPr>
          <w:rFonts w:hint="eastAsia" w:ascii="Arial" w:hAnsi="宋体" w:cs="Arial"/>
          <w:b/>
          <w:bCs/>
          <w:sz w:val="20"/>
          <w:szCs w:val="20"/>
          <w:shd w:val="pct10" w:color="auto" w:fill="FFFFFF"/>
        </w:rPr>
        <w:t>（以下所有报价均未含增值税）</w:t>
      </w:r>
    </w:p>
    <w:tbl>
      <w:tblPr>
        <w:tblStyle w:val="8"/>
        <w:tblW w:w="10485" w:type="dxa"/>
        <w:tblInd w:w="-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6"/>
        <w:gridCol w:w="4634"/>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66"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项目</w:t>
            </w:r>
          </w:p>
        </w:tc>
        <w:tc>
          <w:tcPr>
            <w:tcW w:w="4634" w:type="dxa"/>
          </w:tcPr>
          <w:p>
            <w:pPr>
              <w:widowControl/>
              <w:spacing w:line="240" w:lineRule="auto"/>
              <w:jc w:val="left"/>
              <w:rPr>
                <w:rFonts w:cs="宋体" w:asciiTheme="minorEastAsia" w:hAnsiTheme="minorEastAsia" w:eastAsiaTheme="minorEastAsia"/>
                <w:b/>
                <w:kern w:val="0"/>
                <w:sz w:val="20"/>
                <w:szCs w:val="20"/>
              </w:rPr>
            </w:pPr>
            <w:r>
              <w:rPr>
                <w:rFonts w:hint="eastAsia" w:cs="宋体" w:asciiTheme="minorEastAsia" w:hAnsiTheme="minorEastAsia" w:eastAsiaTheme="minorEastAsia"/>
                <w:b/>
                <w:kern w:val="0"/>
                <w:sz w:val="20"/>
                <w:szCs w:val="20"/>
              </w:rPr>
              <w:t>价格/面积</w:t>
            </w:r>
          </w:p>
        </w:tc>
        <w:tc>
          <w:tcPr>
            <w:tcW w:w="4485" w:type="dxa"/>
          </w:tcPr>
          <w:p>
            <w:pPr>
              <w:widowControl/>
              <w:spacing w:line="240" w:lineRule="auto"/>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b/>
                <w:kern w:val="0"/>
                <w:sz w:val="20"/>
                <w:szCs w:val="20"/>
              </w:rPr>
              <w:t>基本配备/规格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bidi w:val="0"/>
              <w:spacing w:line="240" w:lineRule="auto"/>
              <w:rPr>
                <w:rFonts w:hint="eastAsia"/>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标准展台</w:t>
            </w:r>
          </w:p>
        </w:tc>
        <w:tc>
          <w:tcPr>
            <w:tcW w:w="4634" w:type="dxa"/>
          </w:tcPr>
          <w:p>
            <w:pPr>
              <w:widowControl/>
              <w:spacing w:line="240" w:lineRule="auto"/>
              <w:jc w:val="left"/>
              <w:rPr>
                <w:rFonts w:hint="eastAsia"/>
                <w:lang w:val="en-US" w:eastAsia="zh-CN"/>
              </w:rPr>
            </w:pPr>
            <w:r>
              <w:rPr>
                <w:rFonts w:hint="eastAsia"/>
                <w:lang w:eastAsia="zh-CN"/>
              </w:rPr>
              <w:t>国内展区：</w:t>
            </w:r>
            <w:r>
              <w:rPr>
                <w:rFonts w:hint="eastAsia"/>
                <w:lang w:val="en-US" w:eastAsia="zh-CN"/>
              </w:rPr>
              <w:t>RMB12000元/标准展位（9㎡/个）</w:t>
            </w:r>
          </w:p>
          <w:p>
            <w:pPr>
              <w:widowControl/>
              <w:spacing w:line="240" w:lineRule="auto"/>
              <w:jc w:val="left"/>
              <w:rPr>
                <w:rFonts w:hint="eastAsia"/>
                <w:lang w:val="en-US" w:eastAsia="zh-CN"/>
              </w:rPr>
            </w:pPr>
            <w:r>
              <w:rPr>
                <w:rFonts w:hint="eastAsia"/>
                <w:lang w:eastAsia="zh-CN"/>
              </w:rPr>
              <w:t>精装展区：</w:t>
            </w:r>
            <w:r>
              <w:rPr>
                <w:rFonts w:hint="eastAsia"/>
                <w:lang w:val="en-US" w:eastAsia="zh-CN"/>
              </w:rPr>
              <w:t>RMB16800元/标准展位（9㎡/个）</w:t>
            </w:r>
          </w:p>
          <w:p>
            <w:pPr>
              <w:widowControl/>
              <w:spacing w:line="240" w:lineRule="auto"/>
              <w:jc w:val="left"/>
              <w:rPr>
                <w:rFonts w:hint="eastAsia"/>
                <w:lang w:val="en-US" w:eastAsia="zh-CN"/>
              </w:rPr>
            </w:pPr>
            <w:r>
              <w:rPr>
                <w:rFonts w:hint="eastAsia"/>
                <w:lang w:val="en-US" w:eastAsia="zh-CN"/>
              </w:rPr>
              <w:t>国际展区：RMB21800元/标准展位（9㎡/个）</w:t>
            </w:r>
          </w:p>
          <w:p>
            <w:pPr>
              <w:pStyle w:val="2"/>
              <w:spacing w:line="240" w:lineRule="auto"/>
              <w:rPr>
                <w:rFonts w:hint="default"/>
                <w:lang w:val="en-US" w:eastAsia="zh-CN"/>
              </w:rPr>
            </w:pPr>
            <w:r>
              <w:rPr>
                <w:rFonts w:hint="eastAsia" w:eastAsia="宋体" w:cs="Times New Roman"/>
                <w:kern w:val="2"/>
                <w:sz w:val="20"/>
                <w:szCs w:val="20"/>
                <w:lang w:val="en-US" w:eastAsia="zh-CN" w:bidi="ar-SA"/>
              </w:rPr>
              <w:t>双开位置加收20%开口费。</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◆地毯</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◆三面围板</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◆公司名称楣板</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◆咨询桌一张</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sz w:val="20"/>
                <w:szCs w:val="20"/>
                <w:shd w:val="clear" w:color="auto" w:fill="FFFFFF"/>
              </w:rPr>
            </w:pPr>
            <w:r>
              <w:rPr>
                <w:rFonts w:hint="eastAsia" w:asciiTheme="minorEastAsia" w:hAnsiTheme="minorEastAsia" w:eastAsiaTheme="minorEastAsia" w:cstheme="minorEastAsia"/>
                <w:sz w:val="20"/>
                <w:szCs w:val="20"/>
                <w:shd w:val="clear" w:color="auto" w:fill="FFFFFF"/>
              </w:rPr>
              <w:t>◆椅子两把</w:t>
            </w:r>
            <w:r>
              <w:rPr>
                <w:rFonts w:hint="eastAsia" w:asciiTheme="minorEastAsia" w:hAnsiTheme="minorEastAsia" w:eastAsiaTheme="minorEastAsia" w:cstheme="minorEastAsia"/>
                <w:sz w:val="20"/>
                <w:szCs w:val="20"/>
                <w:shd w:val="clear" w:color="auto" w:fill="FFFFFF"/>
                <w:lang w:val="en-US" w:eastAsia="zh-CN"/>
              </w:rPr>
              <w:t xml:space="preserve">        </w:t>
            </w:r>
            <w:r>
              <w:rPr>
                <w:rFonts w:hint="eastAsia" w:asciiTheme="minorEastAsia" w:hAnsiTheme="minorEastAsia" w:eastAsiaTheme="minorEastAsia" w:cstheme="minorEastAsia"/>
                <w:sz w:val="20"/>
                <w:szCs w:val="20"/>
                <w:shd w:val="clear" w:color="auto" w:fill="FFFFFF"/>
              </w:rPr>
              <w:t>◆射灯两盏</w:t>
            </w:r>
          </w:p>
          <w:p>
            <w:pPr>
              <w:widowControl/>
              <w:spacing w:line="240" w:lineRule="auto"/>
              <w:jc w:val="left"/>
              <w:rPr>
                <w:rFonts w:hint="eastAsia" w:asciiTheme="minorEastAsia" w:hAnsiTheme="minorEastAsia" w:eastAsiaTheme="minorEastAsia" w:cstheme="minorEastAsia"/>
                <w:sz w:val="20"/>
                <w:szCs w:val="20"/>
                <w:shd w:val="clear" w:color="auto" w:fill="FFFFFF"/>
                <w:lang w:val="en-US" w:eastAsia="zh-CN"/>
              </w:rPr>
            </w:pPr>
            <w:r>
              <w:rPr>
                <w:rFonts w:hint="eastAsia" w:asciiTheme="minorEastAsia" w:hAnsiTheme="minorEastAsia" w:eastAsiaTheme="minorEastAsia" w:cstheme="minorEastAsia"/>
                <w:sz w:val="20"/>
                <w:szCs w:val="20"/>
                <w:shd w:val="clear" w:color="auto" w:fill="FFFFFF"/>
              </w:rPr>
              <w:t>◆电源插座一个</w:t>
            </w:r>
            <w:r>
              <w:rPr>
                <w:rFonts w:hint="eastAsia" w:asciiTheme="minorEastAsia" w:hAnsiTheme="minorEastAsia" w:eastAsiaTheme="minorEastAsia" w:cstheme="minorEastAsia"/>
                <w:sz w:val="20"/>
                <w:szCs w:val="20"/>
                <w:shd w:val="clear" w:color="auto" w:fill="FFFFFF"/>
                <w:lang w:val="en-US" w:eastAsia="zh-CN"/>
              </w:rPr>
              <w:t xml:space="preserve">  </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特殊用电请事先说明，另行收费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w:t>
            </w:r>
          </w:p>
        </w:tc>
        <w:tc>
          <w:tcPr>
            <w:tcW w:w="4634" w:type="dxa"/>
          </w:tcPr>
          <w:p>
            <w:pPr>
              <w:widowControl/>
              <w:spacing w:line="240" w:lineRule="auto"/>
              <w:jc w:val="left"/>
              <w:rPr>
                <w:rFonts w:hint="eastAsia"/>
                <w:sz w:val="20"/>
                <w:szCs w:val="20"/>
                <w:lang w:val="en-US" w:eastAsia="zh-CN"/>
              </w:rPr>
            </w:pPr>
            <w:r>
              <w:rPr>
                <w:rFonts w:hint="eastAsia"/>
                <w:sz w:val="20"/>
                <w:szCs w:val="20"/>
                <w:lang w:eastAsia="zh-CN"/>
              </w:rPr>
              <w:t>国内展区：</w:t>
            </w:r>
            <w:r>
              <w:rPr>
                <w:rFonts w:hint="eastAsia"/>
                <w:sz w:val="20"/>
                <w:szCs w:val="20"/>
                <w:lang w:val="en-US" w:eastAsia="zh-CN"/>
              </w:rPr>
              <w:t>RMB1200元/㎡</w:t>
            </w:r>
            <w:r>
              <w:rPr>
                <w:rFonts w:hint="eastAsia"/>
                <w:sz w:val="20"/>
                <w:szCs w:val="20"/>
              </w:rPr>
              <w:t>（36平米起租）</w:t>
            </w:r>
          </w:p>
          <w:p>
            <w:pPr>
              <w:widowControl/>
              <w:spacing w:line="240" w:lineRule="auto"/>
              <w:jc w:val="left"/>
              <w:rPr>
                <w:rFonts w:hint="eastAsia"/>
                <w:sz w:val="20"/>
                <w:szCs w:val="20"/>
              </w:rPr>
            </w:pPr>
            <w:r>
              <w:rPr>
                <w:rFonts w:hint="eastAsia"/>
                <w:sz w:val="20"/>
                <w:szCs w:val="20"/>
                <w:lang w:eastAsia="zh-CN"/>
              </w:rPr>
              <w:t>国际展区：</w:t>
            </w:r>
            <w:r>
              <w:rPr>
                <w:rFonts w:hint="eastAsia"/>
                <w:sz w:val="20"/>
                <w:szCs w:val="20"/>
                <w:lang w:val="en-US" w:eastAsia="zh-CN"/>
              </w:rPr>
              <w:t>RMB2180元/㎡</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空场地不带任何展架及设施</w:t>
            </w:r>
            <w:r>
              <w:rPr>
                <w:rFonts w:hint="eastAsia" w:asciiTheme="minorEastAsia" w:hAnsiTheme="minorEastAsia" w:eastAsiaTheme="minorEastAsia" w:cstheme="minorEastAsia"/>
                <w:sz w:val="20"/>
                <w:szCs w:val="20"/>
                <w:shd w:val="clear" w:color="auto" w:fill="FFFFFF"/>
                <w:lang w:eastAsia="zh-CN"/>
              </w:rPr>
              <w:t>，</w:t>
            </w:r>
            <w:r>
              <w:rPr>
                <w:rFonts w:hint="eastAsia" w:asciiTheme="minorEastAsia" w:hAnsiTheme="minorEastAsia" w:eastAsiaTheme="minorEastAsia" w:cstheme="minorEastAsia"/>
                <w:sz w:val="20"/>
                <w:szCs w:val="20"/>
                <w:shd w:val="clear" w:color="auto" w:fill="FFFFFF"/>
              </w:rPr>
              <w:t>参展商须选择组委会指定搭建商进行搭建，除指定搭建商外不允许任何搭建公司进入展馆。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会务费</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rPr>
              <w:t>1</w:t>
            </w:r>
            <w:r>
              <w:rPr>
                <w:rFonts w:hint="eastAsia" w:asciiTheme="minorEastAsia" w:hAnsiTheme="minorEastAsia" w:eastAsiaTheme="minorEastAsia" w:cstheme="minorEastAsia"/>
                <w:sz w:val="20"/>
                <w:szCs w:val="20"/>
                <w:shd w:val="clear" w:color="auto" w:fill="FFFFFF"/>
                <w:lang w:val="en-US" w:eastAsia="zh-CN"/>
              </w:rPr>
              <w:t>,</w:t>
            </w:r>
            <w:r>
              <w:rPr>
                <w:rFonts w:hint="eastAsia" w:asciiTheme="minorEastAsia" w:hAnsiTheme="minorEastAsia" w:eastAsiaTheme="minorEastAsia" w:cstheme="minorEastAsia"/>
                <w:sz w:val="20"/>
                <w:szCs w:val="20"/>
                <w:shd w:val="clear" w:color="auto" w:fill="FFFFFF"/>
              </w:rPr>
              <w:t>200元/人</w:t>
            </w:r>
          </w:p>
        </w:tc>
        <w:tc>
          <w:tcPr>
            <w:tcW w:w="4485"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含展会资料、午餐、水、礼品等。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widowControl/>
              <w:spacing w:line="240" w:lineRule="auto"/>
              <w:jc w:val="center"/>
              <w:rPr>
                <w:rFonts w:hint="eastAsia" w:asciiTheme="minorEastAsia" w:hAnsiTheme="minorEastAsia" w:eastAsiaTheme="minorEastAsia" w:cstheme="minorEastAsia"/>
                <w:sz w:val="20"/>
                <w:szCs w:val="20"/>
                <w:shd w:val="clear" w:color="auto" w:fill="FFFFFF"/>
              </w:rPr>
            </w:pPr>
          </w:p>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会刊广告</w:t>
            </w:r>
          </w:p>
        </w:tc>
        <w:tc>
          <w:tcPr>
            <w:tcW w:w="4634" w:type="dxa"/>
          </w:tcPr>
          <w:p>
            <w:pPr>
              <w:widowControl/>
              <w:spacing w:line="240" w:lineRule="auto"/>
              <w:jc w:val="left"/>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封面：￥</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0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封底：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p>
            <w:pPr>
              <w:widowControl/>
              <w:spacing w:line="240" w:lineRule="auto"/>
              <w:jc w:val="left"/>
              <w:rPr>
                <w:rFonts w:hint="default"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封二：￥</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封</w:t>
            </w:r>
            <w:r>
              <w:rPr>
                <w:rFonts w:hint="eastAsia" w:asciiTheme="minorEastAsia" w:hAnsiTheme="minorEastAsia" w:eastAsiaTheme="minorEastAsia" w:cstheme="minorEastAsia"/>
                <w:color w:val="000000" w:themeColor="text1"/>
                <w:sz w:val="20"/>
                <w:szCs w:val="20"/>
                <w:highlight w:val="none"/>
                <w:lang w:eastAsia="zh-CN"/>
                <w14:textFill>
                  <w14:solidFill>
                    <w14:schemeClr w14:val="tx1"/>
                  </w14:solidFill>
                </w14:textFill>
              </w:rPr>
              <w:t>三</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5,000元</w:t>
            </w: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扉页：￥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sym w:font="Wingdings" w:char="F0A8"/>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 彩色内页：￥</w:t>
            </w:r>
            <w:r>
              <w:rPr>
                <w:rFonts w:hint="eastAsia" w:asciiTheme="minorEastAsia" w:hAnsiTheme="minorEastAsia" w:eastAsiaTheme="minorEastAsia" w:cstheme="minorEastAsia"/>
                <w:color w:val="000000" w:themeColor="text1"/>
                <w:sz w:val="20"/>
                <w:szCs w:val="20"/>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 xml:space="preserve">,000元 </w:t>
            </w:r>
          </w:p>
        </w:tc>
        <w:tc>
          <w:tcPr>
            <w:tcW w:w="4485" w:type="dxa"/>
          </w:tcPr>
          <w:p>
            <w:pPr>
              <w:widowControl/>
              <w:spacing w:line="240" w:lineRule="auto"/>
              <w:jc w:val="left"/>
              <w:rPr>
                <w:rFonts w:hint="eastAsia" w:asciiTheme="minorEastAsia" w:hAnsiTheme="minorEastAsia" w:eastAsiaTheme="minorEastAsia" w:cstheme="minorEastAsia"/>
                <w:sz w:val="20"/>
                <w:szCs w:val="20"/>
                <w:shd w:val="clear" w:color="auto" w:fill="FFFFFF"/>
              </w:rPr>
            </w:pPr>
          </w:p>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会刊尺寸：130mm宽×210mm高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366" w:type="dxa"/>
          </w:tcPr>
          <w:p>
            <w:pPr>
              <w:widowControl/>
              <w:spacing w:line="240" w:lineRule="auto"/>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shd w:val="clear" w:color="auto" w:fill="FFFFFF"/>
              </w:rPr>
              <w:t>技术讲座</w:t>
            </w:r>
          </w:p>
        </w:tc>
        <w:tc>
          <w:tcPr>
            <w:tcW w:w="4634" w:type="dxa"/>
          </w:tcPr>
          <w:p>
            <w:pPr>
              <w:widowControl/>
              <w:spacing w:line="240" w:lineRule="auto"/>
              <w:jc w:val="left"/>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sz w:val="20"/>
                <w:szCs w:val="20"/>
              </w:rPr>
              <w:t>技术讲座（会议室）</w:t>
            </w:r>
            <w:r>
              <w:rPr>
                <w:rFonts w:hint="eastAsia" w:asciiTheme="minorEastAsia" w:hAnsiTheme="minorEastAsia" w:eastAsiaTheme="minorEastAsia" w:cstheme="minorEastAsia"/>
                <w:sz w:val="20"/>
                <w:szCs w:val="20"/>
                <w:lang w:eastAsia="zh-CN"/>
              </w:rPr>
              <w:t>：</w:t>
            </w:r>
            <w:r>
              <w:rPr>
                <w:rFonts w:hint="eastAsia" w:asciiTheme="minorEastAsia" w:hAnsiTheme="minorEastAsia" w:eastAsiaTheme="minorEastAsia" w:cstheme="minorEastAsia"/>
                <w:sz w:val="20"/>
                <w:szCs w:val="20"/>
                <w:lang w:val="en-US" w:eastAsia="zh-CN"/>
              </w:rPr>
              <w:t xml:space="preserve"> </w:t>
            </w:r>
            <w:r>
              <w:rPr>
                <w:rFonts w:hint="eastAsia" w:asciiTheme="minorEastAsia" w:hAnsiTheme="minorEastAsia" w:eastAsiaTheme="minorEastAsia" w:cstheme="minorEastAsia"/>
                <w:color w:val="000000" w:themeColor="text1"/>
                <w:sz w:val="20"/>
                <w:szCs w:val="20"/>
                <w:highlight w:val="none"/>
                <w14:textFill>
                  <w14:solidFill>
                    <w14:schemeClr w14:val="tx1"/>
                  </w14:solidFill>
                </w14:textFill>
              </w:rPr>
              <w:t>￥</w:t>
            </w:r>
            <w:r>
              <w:rPr>
                <w:rFonts w:hint="eastAsia" w:asciiTheme="minorEastAsia" w:hAnsiTheme="minorEastAsia" w:eastAsiaTheme="minorEastAsia" w:cstheme="minorEastAsia"/>
                <w:sz w:val="20"/>
                <w:szCs w:val="20"/>
                <w:shd w:val="clear" w:color="auto" w:fill="FFFFFF"/>
                <w:lang w:val="en-US" w:eastAsia="zh-CN"/>
              </w:rPr>
              <w:t>15,</w:t>
            </w:r>
            <w:r>
              <w:rPr>
                <w:rFonts w:hint="eastAsia" w:asciiTheme="minorEastAsia" w:hAnsiTheme="minorEastAsia" w:eastAsiaTheme="minorEastAsia" w:cstheme="minorEastAsia"/>
                <w:sz w:val="20"/>
                <w:szCs w:val="20"/>
                <w:shd w:val="clear" w:color="auto" w:fill="FFFFFF"/>
              </w:rPr>
              <w:t>000元/场</w:t>
            </w:r>
          </w:p>
        </w:tc>
        <w:tc>
          <w:tcPr>
            <w:tcW w:w="4485" w:type="dxa"/>
          </w:tcPr>
          <w:p>
            <w:pPr>
              <w:widowControl/>
              <w:spacing w:line="240" w:lineRule="auto"/>
              <w:jc w:val="left"/>
              <w:rPr>
                <w:rFonts w:hint="eastAsia"/>
              </w:rPr>
            </w:pPr>
            <w:r>
              <w:rPr>
                <w:rFonts w:hint="eastAsia"/>
              </w:rPr>
              <w:t>含场地、音响设备、投影仪、现场指示牌、水等。</w:t>
            </w:r>
          </w:p>
        </w:tc>
      </w:tr>
    </w:tbl>
    <w:p>
      <w:pPr>
        <w:spacing w:line="360" w:lineRule="auto"/>
        <w:rPr>
          <w:rFonts w:asciiTheme="minorEastAsia" w:hAnsiTheme="minorEastAsia" w:eastAsiaTheme="minorEastAsia"/>
          <w:b/>
          <w:sz w:val="18"/>
        </w:rPr>
      </w:pPr>
      <w:r>
        <w:rPr>
          <w:rFonts w:hint="eastAsia" w:asciiTheme="minorEastAsia" w:hAnsiTheme="minorEastAsia" w:eastAsiaTheme="minorEastAsia"/>
          <w:b/>
          <w:sz w:val="18"/>
        </w:rPr>
        <w:t>为配合企业的市场战略，我们将提供更多赞助方案选择，赞助详情请来电咨询。</w:t>
      </w:r>
    </w:p>
    <w:p>
      <w:pPr>
        <w:spacing w:line="360" w:lineRule="auto"/>
        <w:rPr>
          <w:rFonts w:cs="Arial" w:asciiTheme="minorEastAsia" w:hAnsiTheme="minorEastAsia" w:eastAsiaTheme="minorEastAsia"/>
          <w:szCs w:val="21"/>
        </w:rPr>
      </w:pPr>
      <w:r>
        <w:rPr>
          <w:rFonts w:hint="eastAsia" w:cs="Arial" w:asciiTheme="minorEastAsia" w:hAnsiTheme="minorEastAsia" w:eastAsiaTheme="minorEastAsia"/>
          <w:szCs w:val="21"/>
        </w:rPr>
        <w:t>《参展商手册》将于202</w:t>
      </w:r>
      <w:r>
        <w:rPr>
          <w:rFonts w:hint="eastAsia" w:cs="Arial" w:asciiTheme="minorEastAsia" w:hAnsiTheme="minorEastAsia" w:eastAsiaTheme="minorEastAsia"/>
          <w:szCs w:val="21"/>
          <w:lang w:val="en-US" w:eastAsia="zh-CN"/>
        </w:rPr>
        <w:t>2</w:t>
      </w:r>
      <w:r>
        <w:rPr>
          <w:rFonts w:hint="eastAsia" w:cs="Arial" w:asciiTheme="minorEastAsia" w:hAnsiTheme="minorEastAsia" w:eastAsiaTheme="minorEastAsia"/>
          <w:szCs w:val="21"/>
        </w:rPr>
        <w:t>年</w:t>
      </w:r>
      <w:r>
        <w:rPr>
          <w:rFonts w:hint="eastAsia" w:cs="Arial" w:asciiTheme="minorEastAsia" w:hAnsiTheme="minorEastAsia" w:eastAsiaTheme="minorEastAsia"/>
          <w:szCs w:val="21"/>
          <w:lang w:val="en-US" w:eastAsia="zh-CN"/>
        </w:rPr>
        <w:t>5</w:t>
      </w:r>
      <w:r>
        <w:rPr>
          <w:rFonts w:hint="eastAsia" w:cs="Arial" w:asciiTheme="minorEastAsia" w:hAnsiTheme="minorEastAsia" w:eastAsiaTheme="minorEastAsia"/>
          <w:szCs w:val="21"/>
        </w:rPr>
        <w:t>月上传到展会官网，请参展商自行下载。</w:t>
      </w:r>
    </w:p>
    <w:p>
      <w:pPr>
        <w:tabs>
          <w:tab w:val="left" w:pos="9345"/>
        </w:tabs>
        <w:spacing w:line="300" w:lineRule="exact"/>
        <w:ind w:firstLine="1897" w:firstLineChars="900"/>
        <w:rPr>
          <w:rFonts w:cs="Arial" w:asciiTheme="minorEastAsia" w:hAnsiTheme="minorEastAsia" w:eastAsiaTheme="minorEastAsia"/>
          <w:sz w:val="24"/>
        </w:rPr>
      </w:pPr>
      <w:r>
        <w:rPr>
          <w:rFonts w:cs="Arial" w:asciiTheme="minorEastAsia" w:hAnsiTheme="minorEastAsia" w:eastAsiaTheme="minorEastAsia"/>
          <w:b/>
          <w:bCs/>
          <w:szCs w:val="21"/>
        </w:rPr>
        <mc:AlternateContent>
          <mc:Choice Requires="wps">
            <w:drawing>
              <wp:anchor distT="0" distB="0" distL="114300" distR="114300" simplePos="0" relativeHeight="251665408" behindDoc="0" locked="0" layoutInCell="1" allowOverlap="1">
                <wp:simplePos x="0" y="0"/>
                <wp:positionH relativeFrom="column">
                  <wp:posOffset>838200</wp:posOffset>
                </wp:positionH>
                <wp:positionV relativeFrom="paragraph">
                  <wp:posOffset>86995</wp:posOffset>
                </wp:positionV>
                <wp:extent cx="0" cy="739140"/>
                <wp:effectExtent l="4445" t="0" r="10795" b="7620"/>
                <wp:wrapNone/>
                <wp:docPr id="6" name="Line 5"/>
                <wp:cNvGraphicFramePr/>
                <a:graphic xmlns:a="http://schemas.openxmlformats.org/drawingml/2006/main">
                  <a:graphicData uri="http://schemas.microsoft.com/office/word/2010/wordprocessingShape">
                    <wps:wsp>
                      <wps:cNvCnPr/>
                      <wps:spPr>
                        <a:xfrm>
                          <a:off x="0" y="0"/>
                          <a:ext cx="0" cy="7391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Line 5" o:spid="_x0000_s1026" o:spt="20" style="position:absolute;left:0pt;margin-left:66pt;margin-top:6.85pt;height:58.2pt;width:0pt;z-index:251665408;mso-width-relative:page;mso-height-relative:page;" filled="f" stroked="t" coordsize="21600,21600" o:gfxdata="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QH6o0wAAAAoBAAAPAAAAAAAAAAEAIAAAACIAAABk&#10;cnMvZG93bnJldi54bWxQSwECFAAUAAAACACHTuJALTpFYNIBAADMAwAADgAAAAAAAAABACAAAAAi&#10;AQAAZHJzL2Uyb0RvYy54bWxQSwUGAAAAAAYABgBZAQAAZgUAAAAA&#10;">
                <v:fill on="f" focussize="0,0"/>
                <v:stroke color="#000000" joinstyle="round"/>
                <v:imagedata o:title=""/>
                <o:lock v:ext="edit" aspectratio="f"/>
              </v:line>
            </w:pict>
          </mc:Fallback>
        </mc:AlternateContent>
      </w:r>
      <w:r>
        <w:rPr>
          <w:rFonts w:cs="宋体" w:asciiTheme="minorEastAsia" w:hAnsiTheme="minorEastAsia" w:eastAsiaTheme="minorEastAsia"/>
          <w:kern w:val="0"/>
          <w:szCs w:val="21"/>
        </w:rPr>
        <w:drawing>
          <wp:anchor distT="0" distB="0" distL="114300" distR="114300" simplePos="0" relativeHeight="251666432" behindDoc="1" locked="0" layoutInCell="1" allowOverlap="1">
            <wp:simplePos x="0" y="0"/>
            <wp:positionH relativeFrom="column">
              <wp:posOffset>-69850</wp:posOffset>
            </wp:positionH>
            <wp:positionV relativeFrom="paragraph">
              <wp:posOffset>129540</wp:posOffset>
            </wp:positionV>
            <wp:extent cx="818515" cy="540385"/>
            <wp:effectExtent l="0" t="0" r="4445" b="8255"/>
            <wp:wrapNone/>
            <wp:docPr id="10"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5"/>
                    <pic:cNvPicPr>
                      <a:picLocks noChangeAspect="1"/>
                    </pic:cNvPicPr>
                  </pic:nvPicPr>
                  <pic:blipFill>
                    <a:blip r:embed="rId6"/>
                    <a:stretch>
                      <a:fillRect/>
                    </a:stretch>
                  </pic:blipFill>
                  <pic:spPr>
                    <a:xfrm>
                      <a:off x="0" y="0"/>
                      <a:ext cx="818515" cy="540385"/>
                    </a:xfrm>
                    <a:prstGeom prst="rect">
                      <a:avLst/>
                    </a:prstGeom>
                    <a:noFill/>
                    <a:ln>
                      <a:noFill/>
                    </a:ln>
                  </pic:spPr>
                </pic:pic>
              </a:graphicData>
            </a:graphic>
          </wp:anchor>
        </w:drawing>
      </w:r>
      <w:r>
        <w:rPr>
          <w:rFonts w:hint="eastAsia" w:cs="Arial" w:asciiTheme="minorEastAsia" w:hAnsiTheme="minorEastAsia" w:eastAsiaTheme="minorEastAsia"/>
          <w:b/>
          <w:bCs/>
          <w:szCs w:val="21"/>
        </w:rPr>
        <w:t>组织</w:t>
      </w:r>
      <w:r>
        <w:rPr>
          <w:rFonts w:cs="Arial" w:asciiTheme="minorEastAsia" w:hAnsiTheme="minorEastAsia" w:eastAsiaTheme="minorEastAsia"/>
          <w:b/>
          <w:bCs/>
          <w:szCs w:val="21"/>
        </w:rPr>
        <w:t>单位：振威国际会展集团</w:t>
      </w:r>
      <w:r>
        <w:rPr>
          <w:rFonts w:hint="eastAsia" w:cs="Arial" w:asciiTheme="minorEastAsia" w:hAnsiTheme="minorEastAsia" w:eastAsiaTheme="minorEastAsia"/>
          <w:b/>
          <w:bCs/>
          <w:szCs w:val="21"/>
        </w:rPr>
        <w:t xml:space="preserve">  </w:t>
      </w:r>
      <w:r>
        <w:rPr>
          <w:rFonts w:cs="Arial" w:asciiTheme="minorEastAsia" w:hAnsiTheme="minorEastAsia" w:eastAsiaTheme="minorEastAsia"/>
          <w:b/>
          <w:bCs/>
          <w:szCs w:val="21"/>
        </w:rPr>
        <w:t>北京振威展览有限公司</w:t>
      </w:r>
    </w:p>
    <w:p>
      <w:pPr>
        <w:spacing w:line="300" w:lineRule="exact"/>
        <w:ind w:firstLine="1890" w:firstLineChars="900"/>
        <w:rPr>
          <w:rFonts w:asciiTheme="minorEastAsia" w:hAnsiTheme="minorEastAsia" w:eastAsiaTheme="minorEastAsia"/>
          <w:b/>
          <w:szCs w:val="21"/>
        </w:rPr>
      </w:pPr>
      <w:r>
        <w:rPr>
          <w:rFonts w:cs="Arial" w:asciiTheme="minorEastAsia" w:hAnsiTheme="minorEastAsia" w:eastAsiaTheme="minorEastAsia"/>
          <w:szCs w:val="21"/>
        </w:rPr>
        <w:t>地  址：</w:t>
      </w:r>
      <w:r>
        <w:rPr>
          <w:rFonts w:hint="eastAsia" w:asciiTheme="minorEastAsia" w:hAnsiTheme="minorEastAsia" w:eastAsiaTheme="minorEastAsia"/>
          <w:szCs w:val="21"/>
        </w:rPr>
        <w:t>北京市通州区经海五路1号院国际企业大道III13号楼振威展览大厦</w:t>
      </w:r>
      <w:r>
        <w:rPr>
          <w:rFonts w:cs="Arial" w:asciiTheme="minorEastAsia" w:hAnsiTheme="minorEastAsia" w:eastAsiaTheme="minorEastAsia"/>
          <w:szCs w:val="21"/>
        </w:rPr>
        <w:t xml:space="preserve"> </w:t>
      </w:r>
    </w:p>
    <w:p>
      <w:pPr>
        <w:tabs>
          <w:tab w:val="left" w:pos="9345"/>
        </w:tabs>
        <w:spacing w:line="300" w:lineRule="exact"/>
        <w:ind w:firstLine="1890" w:firstLineChars="900"/>
        <w:rPr>
          <w:rFonts w:hint="eastAsia" w:cs="Arial" w:asciiTheme="minorEastAsia" w:hAnsiTheme="minorEastAsia" w:eastAsiaTheme="minorEastAsia"/>
          <w:szCs w:val="21"/>
        </w:rPr>
      </w:pPr>
      <w:r>
        <w:rPr>
          <w:rFonts w:cs="Arial" w:asciiTheme="minorEastAsia" w:hAnsiTheme="minorEastAsia" w:eastAsiaTheme="minorEastAsia"/>
          <w:szCs w:val="21"/>
        </w:rPr>
        <w:t>电</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话：</w:t>
      </w:r>
      <w:r>
        <w:rPr>
          <w:rFonts w:hint="eastAsia" w:cs="Arial" w:asciiTheme="minorEastAsia" w:hAnsiTheme="minorEastAsia" w:eastAsiaTheme="minorEastAsia"/>
          <w:szCs w:val="21"/>
          <w:lang w:val="en-US" w:eastAsia="zh-CN"/>
        </w:rPr>
        <w:t xml:space="preserve">15201320028         </w:t>
      </w:r>
      <w:r>
        <w:rPr>
          <w:rFonts w:hint="eastAsia" w:cs="Arial" w:asciiTheme="minorEastAsia" w:hAnsiTheme="minorEastAsia" w:eastAsiaTheme="minorEastAsia"/>
          <w:szCs w:val="21"/>
        </w:rPr>
        <w:t xml:space="preserve">   </w:t>
      </w:r>
      <w:r>
        <w:rPr>
          <w:rFonts w:hint="eastAsia" w:cs="Arial" w:asciiTheme="minorEastAsia" w:hAnsiTheme="minorEastAsia" w:eastAsiaTheme="minorEastAsia"/>
          <w:szCs w:val="21"/>
          <w:lang w:val="en-US" w:eastAsia="zh-CN"/>
        </w:rPr>
        <w:t xml:space="preserve">            </w:t>
      </w:r>
      <w:r>
        <w:rPr>
          <w:rFonts w:cs="Arial" w:asciiTheme="minorEastAsia" w:hAnsiTheme="minorEastAsia" w:eastAsiaTheme="minorEastAsia"/>
          <w:szCs w:val="21"/>
        </w:rPr>
        <w:t>传</w:t>
      </w:r>
      <w:r>
        <w:rPr>
          <w:rFonts w:hint="eastAsia" w:cs="Arial" w:asciiTheme="minorEastAsia" w:hAnsiTheme="minorEastAsia" w:eastAsiaTheme="minorEastAsia"/>
          <w:szCs w:val="21"/>
        </w:rPr>
        <w:t xml:space="preserve">  </w:t>
      </w:r>
      <w:r>
        <w:rPr>
          <w:rFonts w:cs="Arial" w:asciiTheme="minorEastAsia" w:hAnsiTheme="minorEastAsia" w:eastAsiaTheme="minorEastAsia"/>
          <w:szCs w:val="21"/>
        </w:rPr>
        <w:t>真：010-</w:t>
      </w:r>
      <w:bookmarkStart w:id="0" w:name="_Hlt71948675"/>
      <w:r>
        <w:rPr>
          <w:rFonts w:hint="eastAsia" w:cs="Arial" w:asciiTheme="minorEastAsia" w:hAnsiTheme="minorEastAsia" w:eastAsiaTheme="minorEastAsia"/>
          <w:szCs w:val="21"/>
        </w:rPr>
        <w:t>5617</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69</w:t>
      </w:r>
      <w:r>
        <w:rPr>
          <w:rFonts w:hint="eastAsia" w:cs="Arial" w:asciiTheme="minorEastAsia" w:hAnsiTheme="minorEastAsia" w:eastAsiaTheme="minorEastAsia"/>
          <w:szCs w:val="21"/>
          <w:lang w:val="en-US" w:eastAsia="zh-CN"/>
        </w:rPr>
        <w:t>42</w:t>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rPr>
          <w:rFonts w:cs="Arial" w:asciiTheme="minorEastAsia" w:hAnsiTheme="minorEastAsia" w:eastAsiaTheme="minorEastAsia"/>
          <w:szCs w:val="21"/>
        </w:rPr>
      </w:pPr>
      <w:r>
        <w:rPr>
          <w:rFonts w:hint="eastAsia" w:cs="Arial" w:asciiTheme="minorEastAsia" w:hAnsiTheme="minorEastAsia" w:eastAsiaTheme="minorEastAsia"/>
          <w:szCs w:val="21"/>
        </w:rPr>
        <w:t>网  址：</w:t>
      </w:r>
      <w:bookmarkEnd w:id="0"/>
      <w:r>
        <w:rPr>
          <w:rStyle w:val="13"/>
          <w:rFonts w:cs="Arial" w:asciiTheme="minorEastAsia" w:hAnsiTheme="minorEastAsia" w:eastAsiaTheme="minorEastAsia"/>
          <w:szCs w:val="21"/>
        </w:rPr>
        <w:fldChar w:fldCharType="begin"/>
      </w:r>
      <w:r>
        <w:rPr>
          <w:rStyle w:val="13"/>
          <w:rFonts w:cs="Arial" w:asciiTheme="minorEastAsia" w:hAnsiTheme="minorEastAsia" w:eastAsiaTheme="minorEastAsia"/>
          <w:szCs w:val="21"/>
        </w:rPr>
        <w:instrText xml:space="preserve"> HYPERLINK "http://www.cippe.com.cn" </w:instrText>
      </w:r>
      <w:r>
        <w:rPr>
          <w:rStyle w:val="13"/>
          <w:rFonts w:cs="Arial" w:asciiTheme="minorEastAsia" w:hAnsiTheme="minorEastAsia" w:eastAsiaTheme="minorEastAsia"/>
          <w:szCs w:val="21"/>
        </w:rPr>
        <w:fldChar w:fldCharType="separate"/>
      </w:r>
      <w:r>
        <w:rPr>
          <w:rStyle w:val="12"/>
          <w:rFonts w:cs="Arial" w:asciiTheme="minorEastAsia" w:hAnsiTheme="minorEastAsia" w:eastAsiaTheme="minorEastAsia"/>
          <w:szCs w:val="21"/>
        </w:rPr>
        <w:t>w</w:t>
      </w:r>
      <w:bookmarkStart w:id="1" w:name="_Hlt47004875"/>
      <w:bookmarkStart w:id="2" w:name="_Hlt47004876"/>
      <w:r>
        <w:rPr>
          <w:rStyle w:val="12"/>
          <w:rFonts w:cs="Arial" w:asciiTheme="minorEastAsia" w:hAnsiTheme="minorEastAsia" w:eastAsiaTheme="minorEastAsia"/>
          <w:szCs w:val="21"/>
        </w:rPr>
        <w:t>w</w:t>
      </w:r>
      <w:bookmarkEnd w:id="1"/>
      <w:bookmarkEnd w:id="2"/>
      <w:r>
        <w:rPr>
          <w:rStyle w:val="12"/>
          <w:rFonts w:cs="Arial" w:asciiTheme="minorEastAsia" w:hAnsiTheme="minorEastAsia" w:eastAsiaTheme="minorEastAsia"/>
          <w:szCs w:val="21"/>
        </w:rPr>
        <w:t>w.</w:t>
      </w:r>
      <w:r>
        <w:rPr>
          <w:rStyle w:val="12"/>
          <w:rFonts w:hint="eastAsia" w:cs="Arial" w:asciiTheme="minorEastAsia" w:hAnsiTheme="minorEastAsia" w:eastAsiaTheme="minorEastAsia"/>
          <w:szCs w:val="21"/>
          <w:lang w:val="en-US" w:eastAsia="zh-Hans"/>
        </w:rPr>
        <w:t>cd</w:t>
      </w:r>
      <w:r>
        <w:rPr>
          <w:rStyle w:val="12"/>
          <w:rFonts w:hint="default" w:cs="Arial" w:asciiTheme="minorEastAsia" w:hAnsiTheme="minorEastAsia" w:eastAsiaTheme="minorEastAsia"/>
          <w:szCs w:val="21"/>
          <w:lang w:eastAsia="zh-Hans"/>
        </w:rPr>
        <w:t>.</w:t>
      </w:r>
      <w:r>
        <w:rPr>
          <w:rStyle w:val="12"/>
          <w:rFonts w:cs="Arial" w:asciiTheme="minorEastAsia" w:hAnsiTheme="minorEastAsia" w:eastAsiaTheme="minorEastAsia"/>
          <w:szCs w:val="21"/>
        </w:rPr>
        <w:t>cippe.com.cn</w:t>
      </w:r>
      <w:r>
        <w:rPr>
          <w:rStyle w:val="13"/>
          <w:rFonts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r>
        <w:rPr>
          <w:rFonts w:hint="eastAsia" w:cs="Arial" w:asciiTheme="minorEastAsia" w:hAnsiTheme="minorEastAsia" w:eastAsiaTheme="minorEastAsia"/>
          <w:szCs w:val="21"/>
          <w:lang w:val="en-US" w:eastAsia="zh-CN"/>
        </w:rPr>
        <w:t xml:space="preserve">   </w:t>
      </w:r>
      <w:r>
        <w:rPr>
          <w:rFonts w:hint="eastAsia" w:cs="Arial" w:asciiTheme="minorEastAsia" w:hAnsiTheme="minorEastAsia" w:eastAsiaTheme="minorEastAsia"/>
          <w:szCs w:val="21"/>
        </w:rPr>
        <w:t>邮  箱</w:t>
      </w:r>
      <w:r>
        <w:rPr>
          <w:rFonts w:cs="Arial" w:asciiTheme="minorEastAsia" w:hAnsiTheme="minorEastAsia" w:eastAsiaTheme="minorEastAsia"/>
          <w:szCs w:val="21"/>
        </w:rPr>
        <w:t>：</w:t>
      </w:r>
      <w:r>
        <w:rPr>
          <w:rFonts w:hint="eastAsia" w:cs="Arial" w:asciiTheme="minorEastAsia" w:hAnsiTheme="minorEastAsia" w:eastAsiaTheme="minorEastAsia"/>
          <w:szCs w:val="21"/>
          <w:lang w:val="en-US" w:eastAsia="zh-CN"/>
        </w:rPr>
        <w:t xml:space="preserve"> lizhi</w:t>
      </w:r>
      <w:r>
        <w:fldChar w:fldCharType="begin"/>
      </w:r>
      <w:r>
        <w:instrText xml:space="preserve"> HYPERLINK "mailto:wenqi@zhenweiexpo.com" </w:instrText>
      </w:r>
      <w:r>
        <w:fldChar w:fldCharType="separate"/>
      </w:r>
      <w:r>
        <w:rPr>
          <w:rFonts w:hint="eastAsia"/>
          <w:lang w:val="en-US" w:eastAsia="zh-CN"/>
        </w:rPr>
        <w:t xml:space="preserve"> </w:t>
      </w:r>
      <w:r>
        <w:rPr>
          <w:rStyle w:val="13"/>
          <w:rFonts w:hint="eastAsia" w:cs="Arial" w:asciiTheme="minorEastAsia" w:hAnsiTheme="minorEastAsia" w:eastAsiaTheme="minorEastAsia"/>
          <w:szCs w:val="21"/>
        </w:rPr>
        <w:t>@zhenweiexpo.com</w:t>
      </w:r>
      <w:r>
        <w:rPr>
          <w:rStyle w:val="13"/>
          <w:rFonts w:hint="eastAsia" w:cs="Arial" w:asciiTheme="minorEastAsia" w:hAnsiTheme="minorEastAsia" w:eastAsiaTheme="minorEastAsia"/>
          <w:szCs w:val="21"/>
        </w:rPr>
        <w:fldChar w:fldCharType="end"/>
      </w:r>
      <w:r>
        <w:rPr>
          <w:rFonts w:hint="eastAsia" w:cs="Arial" w:asciiTheme="minorEastAsia" w:hAnsiTheme="minorEastAsia" w:eastAsiaTheme="minorEastAsia"/>
          <w:szCs w:val="21"/>
        </w:rPr>
        <w:t xml:space="preserve">    </w:t>
      </w:r>
    </w:p>
    <w:p>
      <w:pPr>
        <w:tabs>
          <w:tab w:val="left" w:pos="9345"/>
        </w:tabs>
        <w:spacing w:line="300" w:lineRule="exact"/>
        <w:ind w:firstLine="1890" w:firstLineChars="900"/>
      </w:pPr>
      <w:r>
        <w:rPr>
          <w:rFonts w:cs="Arial" w:asciiTheme="minorEastAsia" w:hAnsiTheme="minorEastAsia" w:eastAsiaTheme="minorEastAsia"/>
          <w:szCs w:val="21"/>
        </w:rPr>
        <w:t>联系人</w:t>
      </w:r>
      <w:r>
        <w:rPr>
          <w:rFonts w:hint="eastAsia" w:cs="Arial" w:asciiTheme="minorEastAsia" w:hAnsiTheme="minorEastAsia" w:eastAsiaTheme="minorEastAsia"/>
          <w:szCs w:val="21"/>
        </w:rPr>
        <w:t>：</w:t>
      </w:r>
      <w:r>
        <w:rPr>
          <w:rFonts w:hint="eastAsia" w:cs="Arial" w:asciiTheme="minorEastAsia" w:hAnsiTheme="minorEastAsia" w:eastAsiaTheme="minorEastAsia"/>
          <w:szCs w:val="21"/>
          <w:lang w:eastAsia="zh-CN"/>
        </w:rPr>
        <w:t>李志</w:t>
      </w:r>
      <w:r>
        <w:rPr>
          <w:rFonts w:hint="eastAsia" w:asciiTheme="minorEastAsia" w:hAnsiTheme="minorEastAsia" w:eastAsiaTheme="minorEastAsia" w:cstheme="minorEastAsia"/>
          <w:lang w:val="en-US" w:eastAsia="zh-CN"/>
        </w:rPr>
        <w:t xml:space="preserve">   </w:t>
      </w:r>
    </w:p>
    <w:p>
      <w:pPr>
        <w:rPr>
          <w:rFonts w:ascii="Arial" w:hAnsi="Arial" w:cs="Arial"/>
          <w:sz w:val="28"/>
          <w:szCs w:val="28"/>
        </w:rPr>
      </w:pPr>
      <w:r>
        <w:rPr>
          <w:rFonts w:ascii="宋体" w:hAnsi="宋体" w:eastAsia="宋体" w:cs="宋体"/>
          <w:sz w:val="24"/>
          <w:szCs w:val="24"/>
        </w:rPr>
        <w:drawing>
          <wp:inline distT="0" distB="0" distL="114300" distR="114300">
            <wp:extent cx="1249045" cy="361315"/>
            <wp:effectExtent l="0" t="0" r="635" b="44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49045" cy="361315"/>
                    </a:xfrm>
                    <a:prstGeom prst="rect">
                      <a:avLst/>
                    </a:prstGeom>
                    <a:noFill/>
                    <a:ln w="9525">
                      <a:noFill/>
                    </a:ln>
                  </pic:spPr>
                </pic:pic>
              </a:graphicData>
            </a:graphic>
          </wp:inline>
        </w:drawing>
      </w:r>
      <w:r>
        <w:rPr>
          <w:rFonts w:hint="eastAsia" w:ascii="Arial" w:hAnsi="Arial" w:cs="Arial"/>
          <w:sz w:val="28"/>
          <w:szCs w:val="28"/>
        </w:rPr>
        <w:t xml:space="preserve"> </w:t>
      </w:r>
    </w:p>
    <w:p>
      <w:pPr>
        <w:spacing w:line="440" w:lineRule="exact"/>
        <w:jc w:val="center"/>
        <w:rPr>
          <w:b/>
        </w:rPr>
      </w:pPr>
      <w:r>
        <w:rPr>
          <w:rFonts w:hint="eastAsia" w:ascii="Arial" w:hAnsi="Arial" w:cs="Arial"/>
          <w:b/>
          <w:sz w:val="28"/>
          <w:szCs w:val="28"/>
          <w:lang w:val="en-US" w:eastAsia="zh-CN"/>
        </w:rPr>
        <w:t>2022</w:t>
      </w:r>
      <w:r>
        <w:rPr>
          <w:rFonts w:hint="eastAsia" w:ascii="Arial" w:hAnsi="Arial" w:cs="Arial"/>
          <w:b/>
          <w:sz w:val="28"/>
          <w:szCs w:val="28"/>
        </w:rPr>
        <w:t xml:space="preserve">中国（成都）国际石油石化技术装备展览会 </w:t>
      </w:r>
      <w:r>
        <w:rPr>
          <w:rFonts w:hint="eastAsia" w:ascii="Arial" w:hAnsi="Arial" w:cs="Arial"/>
          <w:sz w:val="28"/>
          <w:szCs w:val="28"/>
        </w:rPr>
        <w:t xml:space="preserve">                                                       </w:t>
      </w:r>
      <w:r>
        <w:rPr>
          <w:rFonts w:hint="eastAsia" w:ascii="Arial" w:hAnsi="Arial" w:cs="Arial"/>
          <w:b/>
          <w:sz w:val="28"/>
          <w:szCs w:val="28"/>
        </w:rPr>
        <w:t>参展申请表</w:t>
      </w:r>
    </w:p>
    <w:p>
      <w:pPr>
        <w:spacing w:line="420" w:lineRule="exact"/>
        <w:ind w:firstLine="180" w:firstLineChars="100"/>
        <w:rPr>
          <w:rFonts w:hint="eastAsia" w:asciiTheme="minorEastAsia" w:hAnsiTheme="minorEastAsia" w:eastAsiaTheme="minorEastAsia" w:cstheme="minorEastAsia"/>
          <w:spacing w:val="20"/>
        </w:rPr>
      </w:pPr>
      <w:r>
        <w:rPr>
          <w:rFonts w:hint="eastAsia" w:asciiTheme="minorEastAsia" w:hAnsiTheme="minorEastAsia" w:eastAsiaTheme="minorEastAsia" w:cstheme="minorEastAsia"/>
          <w:sz w:val="18"/>
          <w:szCs w:val="1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6324600" cy="0"/>
                <wp:effectExtent l="0" t="0" r="0" b="0"/>
                <wp:wrapNone/>
                <wp:docPr id="7" name="直线 42"/>
                <wp:cNvGraphicFramePr/>
                <a:graphic xmlns:a="http://schemas.openxmlformats.org/drawingml/2006/main">
                  <a:graphicData uri="http://schemas.microsoft.com/office/word/2010/wordprocessingShape">
                    <wps:wsp>
                      <wps:cNvCnPr/>
                      <wps:spPr>
                        <a:xfrm>
                          <a:off x="0" y="0"/>
                          <a:ext cx="63246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2" o:spid="_x0000_s1026" o:spt="20" style="position:absolute;left:0pt;margin-left:0pt;margin-top:0.95pt;height:0pt;width:498pt;z-index:251659264;mso-width-relative:page;mso-height-relative:page;" filled="f" stroked="t" coordsize="21600,21600" o:gfxdata="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lBHndEAAAAEAQAADwAAAAAA&#10;AAABACAAAAAiAAAAZHJzL2Rvd25yZXYueG1sUEsBAhQAFAAAAAgAh07iQFn//8bhAQAA0AMAAA4A&#10;AAAAAAAAAQAgAAAAIAEAAGRycy9lMm9Eb2MueG1sUEsFBgAAAAAGAAYAWQEAAHM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感谢贵单位参加本届展览会，敬请您用正楷字详细填写并加盖公章后传真或邮寄回组织单位。</w:t>
      </w:r>
    </w:p>
    <w:p>
      <w:pPr>
        <w:spacing w:line="320" w:lineRule="exact"/>
        <w:rPr>
          <w:rFonts w:hint="eastAsia" w:asciiTheme="minorEastAsia" w:hAnsiTheme="minorEastAsia" w:eastAsiaTheme="minorEastAsia" w:cstheme="minorEastAsia"/>
          <w:spacing w:val="20"/>
          <w:szCs w:val="21"/>
        </w:rPr>
      </w:pPr>
      <w:r>
        <w:rPr>
          <w:rFonts w:hint="eastAsia" w:asciiTheme="minorEastAsia" w:hAnsiTheme="minorEastAsia" w:eastAsiaTheme="minorEastAsia" w:cstheme="minorEastAsia"/>
          <w:b/>
          <w:spacing w:val="20"/>
          <w:szCs w:val="21"/>
        </w:rPr>
        <w:t xml:space="preserve">     </w:t>
      </w:r>
    </w:p>
    <w:p>
      <w:pPr>
        <w:bidi w:val="0"/>
        <w:jc w:val="center"/>
        <w:rPr>
          <w:rFonts w:hint="eastAsia" w:eastAsia="微软雅黑" w:asciiTheme="minorEastAsia" w:hAnsiTheme="minorEastAsia" w:cstheme="minorEastAsia"/>
          <w:lang w:val="en-US" w:eastAsia="zh-CN"/>
        </w:rPr>
      </w:pPr>
      <w:r>
        <w:rPr>
          <w:rFonts w:hint="eastAsia" w:asciiTheme="minorEastAsia" w:hAnsiTheme="minorEastAsia" w:eastAsiaTheme="minorEastAsia" w:cstheme="minorEastAsia"/>
        </w:rPr>
        <w:t>时间：2022年</w:t>
      </w:r>
      <w:r>
        <w:rPr>
          <w:rFonts w:hint="eastAsia" w:asciiTheme="minorEastAsia" w:hAnsiTheme="minorEastAsia" w:eastAsiaTheme="minorEastAsia" w:cstheme="minorEastAsia"/>
          <w:lang w:val="en-US" w:eastAsia="zh-CN"/>
        </w:rPr>
        <w:t>10</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lang w:val="en-US" w:eastAsia="zh-CN"/>
        </w:rPr>
        <w:t>9</w:t>
      </w:r>
      <w:r>
        <w:rPr>
          <w:rFonts w:hint="eastAsia" w:asciiTheme="minorEastAsia" w:hAnsiTheme="minorEastAsia" w:eastAsiaTheme="minorEastAsia" w:cstheme="minorEastAsia"/>
        </w:rPr>
        <w:t>日-</w:t>
      </w:r>
      <w:r>
        <w:rPr>
          <w:rFonts w:hint="eastAsia" w:asciiTheme="minorEastAsia" w:hAnsiTheme="minorEastAsia" w:eastAsiaTheme="minorEastAsia" w:cstheme="minorEastAsia"/>
          <w:lang w:val="en-US" w:eastAsia="zh-CN"/>
        </w:rPr>
        <w:t>11</w:t>
      </w:r>
      <w:r>
        <w:rPr>
          <w:rFonts w:hint="eastAsia" w:asciiTheme="minorEastAsia" w:hAnsiTheme="minorEastAsia" w:eastAsiaTheme="minorEastAsia" w:cstheme="minorEastAsia"/>
        </w:rPr>
        <w:t>日     地点：</w:t>
      </w:r>
      <w:r>
        <w:rPr>
          <w:rFonts w:hint="eastAsia" w:asciiTheme="minorEastAsia" w:hAnsiTheme="minorEastAsia" w:eastAsiaTheme="minorEastAsia" w:cstheme="minorEastAsia"/>
          <w:sz w:val="21"/>
          <w:szCs w:val="21"/>
          <w:lang w:val="en-US" w:eastAsia="zh-CN"/>
        </w:rPr>
        <w:t>成都世纪城新国际会展中心</w:t>
      </w:r>
      <w:bookmarkStart w:id="4" w:name="_GoBack"/>
      <w:bookmarkEnd w:id="4"/>
      <w:r>
        <w:rPr>
          <w:rFonts w:hint="eastAsia" w:asciiTheme="minorEastAsia" w:hAnsiTheme="minorEastAsia" w:eastAsiaTheme="minorEastAsia" w:cstheme="minorEastAsia"/>
          <w:sz w:val="21"/>
          <w:szCs w:val="21"/>
          <w:lang w:val="en-US" w:eastAsia="zh-CN"/>
        </w:rPr>
        <w:t>(成都市天府大道中段1号</w:t>
      </w:r>
      <w:r>
        <w:rPr>
          <w:rFonts w:hint="eastAsia" w:ascii="微软雅黑" w:hAnsi="微软雅黑" w:eastAsia="微软雅黑" w:cs="微软雅黑"/>
          <w:i w:val="0"/>
          <w:iCs w:val="0"/>
          <w:caps w:val="0"/>
          <w:color w:val="333333"/>
          <w:spacing w:val="0"/>
          <w:sz w:val="19"/>
          <w:szCs w:val="19"/>
          <w:shd w:val="clear" w:fill="FFFFFF"/>
          <w:lang w:val="en-US" w:eastAsia="zh-CN"/>
        </w:rPr>
        <w:t>)</w:t>
      </w:r>
    </w:p>
    <w:p>
      <w:pPr>
        <w:spacing w:line="320" w:lineRule="exact"/>
        <w:ind w:left="420" w:hanging="420"/>
        <w:jc w:val="center"/>
        <w:rPr>
          <w:rFonts w:hint="eastAsia" w:asciiTheme="minorEastAsia" w:hAnsiTheme="minorEastAsia" w:eastAsiaTheme="minorEastAsia" w:cstheme="minorEastAsia"/>
        </w:rPr>
      </w:pPr>
    </w:p>
    <w:p>
      <w:pPr>
        <w:spacing w:line="400" w:lineRule="exact"/>
        <w:ind w:hanging="1260"/>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            公司名称（中、英文）</w:t>
      </w:r>
      <w:r>
        <w:rPr>
          <w:rFonts w:hint="eastAsia" w:asciiTheme="minorEastAsia" w:hAnsiTheme="minorEastAsia" w:eastAsiaTheme="minorEastAsia" w:cstheme="minorEastAsia"/>
          <w:u w:val="single"/>
        </w:rPr>
        <w:t xml:space="preserve">　                                                                          </w:t>
      </w:r>
    </w:p>
    <w:p>
      <w:pPr>
        <w:spacing w:line="400" w:lineRule="exact"/>
        <w:ind w:hanging="1260"/>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　　　      详细地址：</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邮编：</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电话：</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传真：</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u w:val="single"/>
        </w:rPr>
      </w:pPr>
      <w:r>
        <w:rPr>
          <w:rFonts w:hint="eastAsia" w:asciiTheme="minorEastAsia" w:hAnsiTheme="minorEastAsia" w:eastAsiaTheme="minorEastAsia" w:cstheme="minorEastAsia"/>
        </w:rPr>
        <w:t>手机号：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电子信箱：</w:t>
      </w:r>
      <w:r>
        <w:rPr>
          <w:rFonts w:hint="eastAsia" w:asciiTheme="minorEastAsia" w:hAnsiTheme="minorEastAsia" w:eastAsiaTheme="minorEastAsia" w:cstheme="minorEastAsia"/>
          <w:u w:val="single"/>
        </w:rPr>
        <w:t>　　　        　　      　</w:t>
      </w:r>
      <w:r>
        <w:rPr>
          <w:rFonts w:hint="eastAsia" w:asciiTheme="minorEastAsia" w:hAnsiTheme="minorEastAsia" w:eastAsiaTheme="minorEastAsia" w:cstheme="minorEastAsia"/>
        </w:rPr>
        <w:t>网址：</w:t>
      </w:r>
      <w:r>
        <w:rPr>
          <w:rFonts w:hint="eastAsia" w:asciiTheme="minorEastAsia" w:hAnsiTheme="minorEastAsia" w:eastAsiaTheme="minorEastAsia" w:cstheme="minorEastAsia"/>
          <w:u w:val="single"/>
        </w:rPr>
        <w:t xml:space="preserve">                        </w:t>
      </w:r>
    </w:p>
    <w:p>
      <w:pPr>
        <w:spacing w:line="400" w:lineRule="exac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rPr>
        <w:t>展示的产品或技术</w:t>
      </w:r>
      <w:r>
        <w:rPr>
          <w:rFonts w:hint="eastAsia" w:asciiTheme="minorEastAsia" w:hAnsiTheme="minorEastAsia" w:eastAsiaTheme="minorEastAsia" w:cstheme="minorEastAsia"/>
          <w:sz w:val="22"/>
          <w:szCs w:val="22"/>
        </w:rPr>
        <w:t>（中、英文）：</w:t>
      </w:r>
      <w:r>
        <w:rPr>
          <w:rFonts w:hint="eastAsia" w:asciiTheme="minorEastAsia" w:hAnsiTheme="minorEastAsia" w:eastAsiaTheme="minorEastAsia" w:cstheme="minorEastAsia"/>
          <w:sz w:val="22"/>
          <w:szCs w:val="22"/>
          <w:u w:val="single"/>
        </w:rPr>
        <w:t xml:space="preserve">        　                            　　　　　　　　    　   </w:t>
      </w:r>
    </w:p>
    <w:p>
      <w:pPr>
        <w:spacing w:line="420" w:lineRule="exact"/>
        <w:rPr>
          <w:rFonts w:hint="eastAsia" w:asciiTheme="minorEastAsia" w:hAnsiTheme="minorEastAsia" w:eastAsiaTheme="minorEastAsia" w:cstheme="minorEastAsia"/>
          <w:sz w:val="22"/>
          <w:szCs w:val="22"/>
          <w:u w:val="single"/>
        </w:rPr>
      </w:pPr>
      <w:r>
        <w:rPr>
          <w:rFonts w:ascii="Arial" w:hAnsi="Arial" w:cs="Arial"/>
        </w:rPr>
        <w:t>■</w:t>
      </w:r>
      <w:r>
        <w:rPr>
          <w:rFonts w:hint="eastAsia" w:asciiTheme="minorEastAsia" w:hAnsiTheme="minorEastAsia" w:eastAsiaTheme="minorEastAsia" w:cstheme="minorEastAsia"/>
        </w:rPr>
        <w:t xml:space="preserve"> 参展方式及费用</w:t>
      </w:r>
      <w:r>
        <w:rPr>
          <w:rFonts w:hint="eastAsia" w:asciiTheme="minorEastAsia" w:hAnsiTheme="minorEastAsia" w:eastAsiaTheme="minorEastAsia" w:cstheme="minorEastAsia"/>
          <w:b/>
        </w:rPr>
        <w:t>（所有报价均未含增值税）</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标准展位：国际展区：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00</w:t>
      </w:r>
      <w:r>
        <w:rPr>
          <w:rFonts w:hint="eastAsia" w:asciiTheme="minorEastAsia" w:hAnsiTheme="minorEastAsia" w:eastAsiaTheme="minorEastAsia" w:cstheme="minorEastAsia"/>
          <w:bCs/>
        </w:rPr>
        <w:t>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bCs/>
          <w:lang w:val="en-US" w:eastAsia="zh-CN"/>
        </w:rPr>
        <w:t xml:space="preserve">             </w:t>
      </w:r>
      <w:r>
        <w:rPr>
          <w:rFonts w:hint="eastAsia" w:asciiTheme="minorEastAsia" w:hAnsiTheme="minorEastAsia" w:eastAsiaTheme="minorEastAsia" w:cstheme="minorEastAsia"/>
          <w:bCs/>
        </w:rPr>
        <w:t>国内展区：</w:t>
      </w:r>
      <w:r>
        <w:rPr>
          <w:rFonts w:hint="eastAsia" w:asciiTheme="minorEastAsia" w:hAnsiTheme="minorEastAsia" w:eastAsiaTheme="minorEastAsia" w:cstheme="minorEastAsia"/>
          <w:bCs/>
          <w:lang w:val="en-US" w:eastAsia="zh-CN"/>
        </w:rPr>
        <w:t>12,</w:t>
      </w:r>
      <w:r>
        <w:rPr>
          <w:rFonts w:hint="eastAsia" w:asciiTheme="minorEastAsia" w:hAnsiTheme="minorEastAsia" w:eastAsiaTheme="minorEastAsia" w:cstheme="minorEastAsia"/>
          <w:bCs/>
        </w:rPr>
        <w:t>000元/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bCs/>
        </w:rPr>
        <w:t>16</w:t>
      </w:r>
      <w:r>
        <w:rPr>
          <w:rFonts w:hint="eastAsia" w:asciiTheme="minorEastAsia" w:hAnsiTheme="minorEastAsia" w:eastAsiaTheme="minorEastAsia" w:cstheme="minorEastAsia"/>
          <w:bCs/>
          <w:lang w:val="en-US" w:eastAsia="zh-CN"/>
        </w:rPr>
        <w:t>,8</w:t>
      </w:r>
      <w:r>
        <w:rPr>
          <w:rFonts w:hint="eastAsia" w:asciiTheme="minorEastAsia" w:hAnsiTheme="minorEastAsia" w:eastAsiaTheme="minorEastAsia" w:cstheme="minorEastAsia"/>
          <w:bCs/>
        </w:rPr>
        <w:t>00元/</w:t>
      </w:r>
      <w:r>
        <w:rPr>
          <w:rFonts w:hint="eastAsia" w:asciiTheme="minorEastAsia" w:hAnsiTheme="minorEastAsia" w:eastAsiaTheme="minorEastAsia" w:cstheme="minorEastAsia"/>
        </w:rPr>
        <w:t>9m</w:t>
      </w:r>
      <w:r>
        <w:rPr>
          <w:rFonts w:hint="eastAsia" w:asciiTheme="minorEastAsia" w:hAnsiTheme="minorEastAsia" w:eastAsiaTheme="minorEastAsia" w:cstheme="minorEastAsia"/>
          <w:vertAlign w:val="superscript"/>
        </w:rPr>
        <w:t>2</w:t>
      </w:r>
    </w:p>
    <w:p>
      <w:p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空 场 地：国际展区：</w:t>
      </w:r>
      <w:r>
        <w:rPr>
          <w:rFonts w:hint="eastAsia" w:asciiTheme="minorEastAsia" w:hAnsiTheme="minorEastAsia" w:eastAsiaTheme="minorEastAsia" w:cstheme="minorEastAsia"/>
          <w:lang w:val="en-US" w:eastAsia="zh-CN"/>
        </w:rPr>
        <w:t>2,18</w:t>
      </w:r>
      <w:r>
        <w:rPr>
          <w:rFonts w:hint="eastAsia" w:asciiTheme="minorEastAsia" w:hAnsiTheme="minorEastAsia" w:eastAsiaTheme="minorEastAsia" w:cstheme="minorEastAsia"/>
        </w:rPr>
        <w:t>0元/平米；</w:t>
      </w:r>
      <w:r>
        <w:rPr>
          <w:rFonts w:hint="eastAsia" w:asciiTheme="minorEastAsia" w:hAnsiTheme="minorEastAsia" w:eastAsiaTheme="minorEastAsia" w:cstheme="minorEastAsia"/>
          <w:bCs/>
        </w:rPr>
        <w:t>国内展区：1</w:t>
      </w:r>
      <w:r>
        <w:rPr>
          <w:rFonts w:hint="eastAsia" w:asciiTheme="minorEastAsia" w:hAnsiTheme="minorEastAsia" w:eastAsiaTheme="minorEastAsia" w:cstheme="minorEastAsia"/>
          <w:bCs/>
          <w:lang w:val="en-US" w:eastAsia="zh-CN"/>
        </w:rPr>
        <w:t>,2</w:t>
      </w:r>
      <w:r>
        <w:rPr>
          <w:rFonts w:hint="eastAsia" w:asciiTheme="minorEastAsia" w:hAnsiTheme="minorEastAsia" w:eastAsiaTheme="minorEastAsia" w:cstheme="minorEastAsia"/>
          <w:bCs/>
        </w:rPr>
        <w:t>00元/平米（36</w:t>
      </w:r>
      <w:r>
        <w:rPr>
          <w:rFonts w:hint="eastAsia" w:asciiTheme="minorEastAsia" w:hAnsiTheme="minorEastAsia" w:eastAsiaTheme="minorEastAsia" w:cstheme="minorEastAsia"/>
        </w:rPr>
        <w:t xml:space="preserve"> 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bCs/>
        </w:rPr>
        <w:t>起租）</w:t>
      </w:r>
    </w:p>
    <w:p>
      <w:pPr>
        <w:spacing w:line="420" w:lineRule="exact"/>
        <w:ind w:firstLine="315" w:firstLineChars="150"/>
        <w:rPr>
          <w:rFonts w:hint="eastAsia" w:asciiTheme="minorEastAsia" w:hAnsiTheme="minorEastAsia" w:eastAsiaTheme="minorEastAsia" w:cstheme="minorEastAsia"/>
        </w:rPr>
      </w:pPr>
      <w:r>
        <w:rPr>
          <w:rFonts w:hint="eastAsia" w:asciiTheme="minorEastAsia" w:hAnsiTheme="minorEastAsia" w:eastAsiaTheme="minorEastAsia" w:cstheme="minorEastAsia"/>
        </w:rPr>
        <w:t>选择空场地</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m</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；标准展位</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个；展位号</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会刊广告：</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面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14:textFill>
            <w14:solidFill>
              <w14:schemeClr w14:val="tx1"/>
            </w14:solidFill>
          </w14:textFill>
        </w:rPr>
        <w:t>000元</w:t>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二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扉    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18,</w:t>
      </w:r>
      <w:r>
        <w:rPr>
          <w:rFonts w:hint="eastAsia" w:asciiTheme="minorEastAsia" w:hAnsiTheme="minorEastAsia" w:eastAsiaTheme="minorEastAsia" w:cstheme="minorEastAsia"/>
          <w:color w:val="000000" w:themeColor="text1"/>
          <w14:textFill>
            <w14:solidFill>
              <w14:schemeClr w14:val="tx1"/>
            </w14:solidFill>
          </w14:textFill>
        </w:rPr>
        <w:t>000元</w:t>
      </w:r>
    </w:p>
    <w:p>
      <w:pPr>
        <w:spacing w:line="420" w:lineRule="exact"/>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0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底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封  三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14:textFill>
            <w14:solidFill>
              <w14:schemeClr w14:val="tx1"/>
            </w14:solidFill>
          </w14:textFill>
        </w:rPr>
        <w:t xml:space="preserve">000元        </w:t>
      </w:r>
      <w:r>
        <w:rPr>
          <w:rFonts w:hint="eastAsia" w:asciiTheme="minorEastAsia" w:hAnsiTheme="minorEastAsia" w:eastAsiaTheme="minorEastAsia" w:cstheme="minorEastAsia"/>
          <w:color w:val="000000" w:themeColor="text1"/>
          <w:sz w:val="18"/>
          <w:szCs w:val="18"/>
          <w14:textFill>
            <w14:solidFill>
              <w14:schemeClr w14:val="tx1"/>
            </w14:solidFill>
          </w14:textFill>
        </w:rPr>
        <w:sym w:font="Wingdings" w:char="F0A8"/>
      </w:r>
      <w:r>
        <w:rPr>
          <w:rFonts w:hint="eastAsia" w:asciiTheme="minorEastAsia" w:hAnsiTheme="minorEastAsia" w:eastAsiaTheme="minorEastAsia" w:cstheme="minorEastAsia"/>
          <w:b/>
          <w:bCs/>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14:textFill>
            <w14:solidFill>
              <w14:schemeClr w14:val="tx1"/>
            </w14:solidFill>
          </w14:textFill>
        </w:rPr>
        <w:t>彩色内页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14:textFill>
            <w14:solidFill>
              <w14:schemeClr w14:val="tx1"/>
            </w14:solidFill>
          </w14:textFill>
        </w:rPr>
        <w:t>000元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技术讲座：</w:t>
      </w:r>
      <w:r>
        <w:rPr>
          <w:rFonts w:hint="eastAsia" w:asciiTheme="minorEastAsia" w:hAnsiTheme="minorEastAsia" w:eastAsiaTheme="minorEastAsia" w:cstheme="minorEastAsia"/>
          <w:lang w:val="en-US" w:eastAsia="zh-CN"/>
        </w:rPr>
        <w:t>15,</w:t>
      </w:r>
      <w:r>
        <w:rPr>
          <w:rFonts w:hint="eastAsia" w:asciiTheme="minorEastAsia" w:hAnsiTheme="minorEastAsia" w:eastAsiaTheme="minorEastAsia" w:cstheme="minorEastAsia"/>
        </w:rPr>
        <w:t>000元/场  选择</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场，主讲人</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职务</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numPr>
          <w:ilvl w:val="0"/>
          <w:numId w:val="1"/>
        </w:numPr>
        <w:spacing w:line="42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会务费：1</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200元/人（包括展会资料、午餐、水、答谢晚宴、礼品等）  共</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人，费用</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元；</w:t>
      </w:r>
    </w:p>
    <w:p>
      <w:pPr>
        <w:spacing w:line="440" w:lineRule="exact"/>
        <w:rPr>
          <w:rFonts w:hint="eastAsia" w:asciiTheme="minorEastAsia" w:hAnsiTheme="minorEastAsia" w:eastAsiaTheme="minorEastAsia" w:cstheme="minorEastAsia"/>
        </w:rPr>
      </w:pPr>
      <w:r>
        <w:rPr>
          <w:rFonts w:ascii="Arial" w:hAnsi="Arial" w:cs="Arial"/>
        </w:rPr>
        <w:t>■</w:t>
      </w:r>
      <w:r>
        <w:rPr>
          <w:rFonts w:hint="eastAsia" w:asciiTheme="minorEastAsia" w:hAnsiTheme="minorEastAsia" w:eastAsiaTheme="minorEastAsia" w:cstheme="minorEastAsia"/>
        </w:rPr>
        <w:t xml:space="preserve"> 以上参展费用总计（大写）含百分之六的增值税：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；付款日期：</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年</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月</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rPr>
        <w:t>日</w:t>
      </w:r>
    </w:p>
    <w:p>
      <w:pPr>
        <w:spacing w:line="420" w:lineRule="exact"/>
        <w:rPr>
          <w:rFonts w:ascii="Arial" w:hAnsi="宋体" w:cs="Arial"/>
          <w:b/>
          <w:bCs/>
        </w:rPr>
      </w:pPr>
      <w:r>
        <w:rPr>
          <w:rFonts w:ascii="Arial" w:hAnsi="Arial" w:cs="Arial"/>
        </w:rPr>
        <w:t>■</w:t>
      </w:r>
      <w:r>
        <w:rPr>
          <w:rFonts w:hint="eastAsia" w:asciiTheme="minorEastAsia" w:hAnsiTheme="minorEastAsia" w:eastAsiaTheme="minorEastAsia" w:cstheme="minorEastAsia"/>
        </w:rPr>
        <w:t xml:space="preserve"> 特别提示：</w:t>
      </w:r>
      <w:r>
        <w:rPr>
          <w:rFonts w:hint="eastAsia" w:asciiTheme="minorEastAsia" w:hAnsiTheme="minorEastAsia" w:eastAsiaTheme="minorEastAsia" w:cstheme="minorEastAsia"/>
          <w:szCs w:val="21"/>
        </w:rPr>
        <w:t>1.报名后</w:t>
      </w:r>
      <w:r>
        <w:rPr>
          <w:rFonts w:hint="eastAsia" w:asciiTheme="minorEastAsia" w:hAnsiTheme="minorEastAsia" w:eastAsiaTheme="minorEastAsia" w:cstheme="minorEastAsia"/>
          <w:szCs w:val="21"/>
          <w:lang w:eastAsia="zh-CN"/>
        </w:rPr>
        <w:t>七</w:t>
      </w:r>
      <w:r>
        <w:rPr>
          <w:rFonts w:hint="eastAsia" w:asciiTheme="minorEastAsia" w:hAnsiTheme="minorEastAsia" w:eastAsiaTheme="minorEastAsia" w:cstheme="minorEastAsia"/>
          <w:szCs w:val="21"/>
        </w:rPr>
        <w:t>个工作日之内请将参展费用一次性汇入组织单位指定帐户；2.组织单位以收到全部参展费用为最终确认参展商展出资格；3.</w:t>
      </w:r>
      <w:r>
        <w:rPr>
          <w:rFonts w:hint="eastAsia" w:asciiTheme="minorEastAsia" w:hAnsiTheme="minorEastAsia" w:eastAsiaTheme="minorEastAsia" w:cstheme="minorEastAsia"/>
          <w:kern w:val="0"/>
          <w:szCs w:val="21"/>
        </w:rPr>
        <w:t>已报名参展企业因自身原因不能参展，其所缴纳费用不作返还；4.参展产品需符合展会参展范围和主题，不侵犯他人知识产权，如不相符自行承担全部法律责任；5.</w:t>
      </w:r>
      <w:r>
        <w:rPr>
          <w:rFonts w:hint="eastAsia" w:asciiTheme="minorEastAsia" w:hAnsiTheme="minorEastAsia" w:eastAsiaTheme="minorEastAsia" w:cstheme="minorEastAsia"/>
          <w:bCs/>
          <w:szCs w:val="21"/>
        </w:rPr>
        <w:t>为保障2022</w:t>
      </w:r>
      <w:r>
        <w:rPr>
          <w:rFonts w:hint="eastAsia" w:asciiTheme="minorEastAsia" w:hAnsiTheme="minorEastAsia" w:eastAsiaTheme="minorEastAsia" w:cstheme="minorEastAsia"/>
          <w:bCs/>
          <w:szCs w:val="21"/>
          <w:lang w:eastAsia="zh-CN"/>
        </w:rPr>
        <w:t>年成都</w:t>
      </w:r>
      <w:r>
        <w:rPr>
          <w:rFonts w:hint="eastAsia" w:asciiTheme="minorEastAsia" w:hAnsiTheme="minorEastAsia" w:eastAsiaTheme="minorEastAsia" w:cstheme="minorEastAsia"/>
          <w:bCs/>
          <w:szCs w:val="21"/>
        </w:rPr>
        <w:t>石油展搭建质量，请各参展商选择主办方指定搭建商搭建贵司展台，</w:t>
      </w:r>
      <w:r>
        <w:rPr>
          <w:rFonts w:hint="eastAsia" w:asciiTheme="minorEastAsia" w:hAnsiTheme="minorEastAsia" w:eastAsiaTheme="minorEastAsia" w:cstheme="minorEastAsia"/>
          <w:bCs/>
          <w:szCs w:val="21"/>
          <w:lang w:eastAsia="zh-CN"/>
        </w:rPr>
        <w:t>非</w:t>
      </w:r>
      <w:r>
        <w:rPr>
          <w:rFonts w:hint="eastAsia" w:asciiTheme="minorEastAsia" w:hAnsiTheme="minorEastAsia" w:eastAsiaTheme="minorEastAsia" w:cstheme="minorEastAsia"/>
          <w:bCs/>
          <w:szCs w:val="21"/>
        </w:rPr>
        <w:t>指定搭建商不允许进入场馆</w:t>
      </w:r>
      <w:r>
        <w:rPr>
          <w:rFonts w:hint="eastAsia" w:asciiTheme="minorEastAsia" w:hAnsiTheme="minorEastAsia" w:eastAsiaTheme="minorEastAsia" w:cstheme="minorEastAsia"/>
          <w:kern w:val="0"/>
          <w:szCs w:val="21"/>
        </w:rPr>
        <w:t>。</w:t>
      </w:r>
    </w:p>
    <w:p>
      <w:pPr>
        <w:spacing w:line="360" w:lineRule="exac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组织单位：振威国际会展集团  北京振威展览有限公司</w:t>
      </w:r>
    </w:p>
    <w:p>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u w:val="single"/>
        </w:rPr>
        <mc:AlternateContent>
          <mc:Choice Requires="wps">
            <w:drawing>
              <wp:anchor distT="0" distB="0" distL="114300" distR="114300" simplePos="0" relativeHeight="251660288" behindDoc="0" locked="0" layoutInCell="1" allowOverlap="1">
                <wp:simplePos x="0" y="0"/>
                <wp:positionH relativeFrom="column">
                  <wp:posOffset>4152900</wp:posOffset>
                </wp:positionH>
                <wp:positionV relativeFrom="paragraph">
                  <wp:posOffset>158750</wp:posOffset>
                </wp:positionV>
                <wp:extent cx="2171700" cy="5080"/>
                <wp:effectExtent l="0" t="0" r="0" b="0"/>
                <wp:wrapNone/>
                <wp:docPr id="8" name="直线 40"/>
                <wp:cNvGraphicFramePr/>
                <a:graphic xmlns:a="http://schemas.openxmlformats.org/drawingml/2006/main">
                  <a:graphicData uri="http://schemas.microsoft.com/office/word/2010/wordprocessingShape">
                    <wps:wsp>
                      <wps:cNvCnPr/>
                      <wps:spPr>
                        <a:xfrm flipV="1">
                          <a:off x="0" y="0"/>
                          <a:ext cx="2171700" cy="5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0" o:spid="_x0000_s1026" o:spt="20" style="position:absolute;left:0pt;flip:y;margin-left:327pt;margin-top:12.5pt;height:0.4pt;width:171pt;z-index:251660288;mso-width-relative:page;mso-height-relative:page;" filled="f" stroked="t" coordsize="21600,21600" o:gfxdata="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uNiG&#10;ptcAAAAJAQAADwAAAAAAAAABACAAAAAiAAAAZHJzL2Rvd25yZXYueG1sUEsBAhQAFAAAAAgAh07i&#10;QFRki3zqAQAA3QMAAA4AAAAAAAAAAQAgAAAAJgEAAGRycy9lMm9Eb2MueG1sUEsFBgAAAAAGAAYA&#10;WQEAAIIFAAAAAA==&#10;">
                <v:fill on="f" focussize="0,0"/>
                <v:stroke color="#000000" joinstyle="round"/>
                <v:imagedata o:title=""/>
                <o:lock v:ext="edit" aspectratio="f"/>
              </v:line>
            </w:pict>
          </mc:Fallback>
        </mc:AlternateContent>
      </w:r>
      <w:r>
        <w:rPr>
          <w:rFonts w:hint="eastAsia" w:asciiTheme="minorEastAsia" w:hAnsiTheme="minorEastAsia" w:eastAsiaTheme="minorEastAsia" w:cstheme="minorEastAsia"/>
        </w:rPr>
        <w:t>地  址：</w:t>
      </w:r>
      <w:r>
        <w:rPr>
          <w:rFonts w:hint="eastAsia" w:asciiTheme="minorEastAsia" w:hAnsiTheme="minorEastAsia" w:eastAsiaTheme="minorEastAsia" w:cstheme="minorEastAsia"/>
          <w:szCs w:val="21"/>
        </w:rPr>
        <w:t>北京市通州区经海五路1号院国际</w:t>
      </w:r>
    </w:p>
    <w:p>
      <w:pPr>
        <w:spacing w:line="360" w:lineRule="exact"/>
        <w:ind w:firstLine="840" w:firstLineChars="4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企业大道III13号楼振威展览大厦</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电  话：</w:t>
      </w:r>
      <w:r>
        <w:rPr>
          <w:rFonts w:hint="eastAsia" w:asciiTheme="minorEastAsia" w:hAnsiTheme="minorEastAsia" w:eastAsiaTheme="minorEastAsia" w:cstheme="minorEastAsia"/>
          <w:lang w:val="en-US" w:eastAsia="zh-CN"/>
        </w:rPr>
        <w:t xml:space="preserve"> 15201320028        </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参展单位印鉴及负责人签名</w:t>
      </w:r>
    </w:p>
    <w:p>
      <w:pPr>
        <w:spacing w:line="360"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E-mail：</w:t>
      </w:r>
      <w:bookmarkStart w:id="3" w:name="OLE_LINK1"/>
      <w:r>
        <w:rPr>
          <w:rFonts w:hint="eastAsia" w:asciiTheme="minorEastAsia" w:hAnsiTheme="minorEastAsia" w:eastAsiaTheme="minorEastAsia" w:cstheme="minorEastAsia"/>
          <w:lang w:val="en-US" w:eastAsia="zh-CN"/>
        </w:rPr>
        <w:t xml:space="preserve"> lizhi</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"mailto:cippe@zhenweiexpo.com"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@zhenweiexpo.com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年   月   日</w:t>
      </w:r>
      <w:bookmarkEnd w:id="3"/>
    </w:p>
    <w:p>
      <w:pPr>
        <w:spacing w:line="360" w:lineRule="exact"/>
      </w:pPr>
      <w:r>
        <w:rPr>
          <w:rFonts w:hint="eastAsia" w:asciiTheme="minorEastAsia" w:hAnsiTheme="minorEastAsia" w:eastAsiaTheme="minorEastAsia" w:cstheme="minorEastAsia"/>
        </w:rPr>
        <w:t>联系人：</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szCs w:val="21"/>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DBA255"/>
    <w:multiLevelType w:val="singleLevel"/>
    <w:tmpl w:val="CADBA255"/>
    <w:lvl w:ilvl="0" w:tentative="0">
      <w:start w:val="1"/>
      <w:numFmt w:val="decimal"/>
      <w:lvlText w:val="%1."/>
      <w:lvlJc w:val="left"/>
      <w:pPr>
        <w:tabs>
          <w:tab w:val="left" w:pos="340"/>
        </w:tabs>
        <w:ind w:left="340" w:hanging="3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95135"/>
    <w:rsid w:val="00CB1EB4"/>
    <w:rsid w:val="01802C9E"/>
    <w:rsid w:val="019D73AC"/>
    <w:rsid w:val="020E6BA6"/>
    <w:rsid w:val="090B5543"/>
    <w:rsid w:val="0A346F03"/>
    <w:rsid w:val="0BAB3172"/>
    <w:rsid w:val="0F16079E"/>
    <w:rsid w:val="127777A6"/>
    <w:rsid w:val="14AF76CB"/>
    <w:rsid w:val="153B2351"/>
    <w:rsid w:val="1881137E"/>
    <w:rsid w:val="18EB0ED0"/>
    <w:rsid w:val="1AA2382E"/>
    <w:rsid w:val="1AB611FC"/>
    <w:rsid w:val="1C894A0D"/>
    <w:rsid w:val="20CC33B3"/>
    <w:rsid w:val="212F7D35"/>
    <w:rsid w:val="280A4B32"/>
    <w:rsid w:val="2BD6074F"/>
    <w:rsid w:val="2BDF21EC"/>
    <w:rsid w:val="2C3C60A9"/>
    <w:rsid w:val="2EEE0998"/>
    <w:rsid w:val="2FA774C5"/>
    <w:rsid w:val="304E7940"/>
    <w:rsid w:val="31EC5663"/>
    <w:rsid w:val="34425A0E"/>
    <w:rsid w:val="37DC60C0"/>
    <w:rsid w:val="3A465B2C"/>
    <w:rsid w:val="45227235"/>
    <w:rsid w:val="46F30DEA"/>
    <w:rsid w:val="4DA1334D"/>
    <w:rsid w:val="4F610FE6"/>
    <w:rsid w:val="58773629"/>
    <w:rsid w:val="59017307"/>
    <w:rsid w:val="5D1A6C78"/>
    <w:rsid w:val="5DF474C9"/>
    <w:rsid w:val="5EC073AC"/>
    <w:rsid w:val="5F675AEC"/>
    <w:rsid w:val="61DB4C28"/>
    <w:rsid w:val="663B67EC"/>
    <w:rsid w:val="68DB3760"/>
    <w:rsid w:val="6B34522A"/>
    <w:rsid w:val="6C1D408F"/>
    <w:rsid w:val="6F7FF971"/>
    <w:rsid w:val="714A76D4"/>
    <w:rsid w:val="73C3376E"/>
    <w:rsid w:val="745A5E80"/>
    <w:rsid w:val="74940C67"/>
    <w:rsid w:val="74C95135"/>
    <w:rsid w:val="75763DC0"/>
    <w:rsid w:val="7829772A"/>
    <w:rsid w:val="7C4A4A2C"/>
    <w:rsid w:val="7D6C2781"/>
    <w:rsid w:val="7FF865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qFormat/>
    <w:uiPriority w:val="0"/>
    <w:rPr>
      <w:rFonts w:eastAsia="黑体"/>
      <w:sz w:val="28"/>
      <w:szCs w:val="20"/>
    </w:rPr>
  </w:style>
  <w:style w:type="paragraph" w:styleId="4">
    <w:name w:val="Body Text Indent"/>
    <w:basedOn w:val="1"/>
    <w:qFormat/>
    <w:uiPriority w:val="0"/>
    <w:pPr>
      <w:spacing w:line="500" w:lineRule="exact"/>
      <w:ind w:firstLine="480"/>
    </w:pPr>
    <w:rPr>
      <w:rFonts w:ascii="仿宋_GB2312" w:eastAsia="方正书宋简体"/>
      <w:szCs w:val="20"/>
    </w:rPr>
  </w:style>
  <w:style w:type="paragraph" w:styleId="5">
    <w:name w:val="Date"/>
    <w:basedOn w:val="1"/>
    <w:next w:val="1"/>
    <w:qFormat/>
    <w:uiPriority w:val="0"/>
    <w:rPr>
      <w:rFonts w:ascii="仿宋_GB2312" w:eastAsia="仿宋_GB2312"/>
      <w:sz w:val="24"/>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FollowedHyperlink"/>
    <w:basedOn w:val="10"/>
    <w:unhideWhenUsed/>
    <w:qFormat/>
    <w:uiPriority w:val="99"/>
    <w:rPr>
      <w:color w:val="800080"/>
      <w:u w:val="single"/>
    </w:rPr>
  </w:style>
  <w:style w:type="character" w:styleId="13">
    <w:name w:val="Hyperlink"/>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2737</Words>
  <Characters>3214</Characters>
  <Lines>0</Lines>
  <Paragraphs>0</Paragraphs>
  <TotalTime>0</TotalTime>
  <ScaleCrop>false</ScaleCrop>
  <LinksUpToDate>false</LinksUpToDate>
  <CharactersWithSpaces>4496</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2021-12-08T09:31:00Z</dcterms:created>
  <dc:creator>Rainbow虹✨</dc:creator>
  <cp:lastModifiedBy>Administrator</cp:lastModifiedBy>
  <dcterms:modified xsi:type="dcterms:W3CDTF">2022-04-14T07:36:37Z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8D3EC7BBA679457489AA6C3B31A8B51D</vt:lpwstr>
  </property>
</Properties>
</file>