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6FBFC">
    <v:background id="_x0000_s1025">
      <v:fill type="tile" on="t" color2="#FFFFFF" o:title="石油展A4纸底纹150-01" focussize="0,0" recolor="t" r:id="rId4"/>
    </v:background>
  </w:background>
  <w:body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cippe2018</w:t>
      </w: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驻华使馆（油气）推介会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搭建桥梁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t>●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促进合作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地点：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北京•中国国际展览中心(新馆，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W2馆，使馆区)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时间：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201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8年3月27-28日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语言：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英语</w:t>
      </w: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会议主旨：</w:t>
      </w:r>
    </w:p>
    <w:p>
      <w:pPr>
        <w:ind w:left="240" w:leftChars="100" w:firstLine="480" w:firstLineChars="200"/>
        <w:jc w:val="both"/>
        <w:rPr>
          <w:rFonts w:hint="eastAsia" w:ascii="微软雅黑" w:hAnsi="微软雅黑" w:eastAsia="微软雅黑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国际合作与中国逐渐加强，尤其是在油气领域，包括，石油天然气、海洋石油、海洋工程、油气运输等。为了进一步加强促进国内外油气企业之间的合作，在</w:t>
      </w: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第十八届中国国际石油石化技术装备展览会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期间，组委会将于2018年3月27日下午到28日期间首次举办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cippe</w:t>
      </w:r>
      <w:r>
        <w:rPr>
          <w:rFonts w:hint="eastAsia" w:ascii="微软雅黑" w:hAnsi="微软雅黑" w:eastAsia="微软雅黑"/>
          <w:b/>
          <w:bCs/>
          <w:i w:val="0"/>
          <w:iCs w:val="0"/>
          <w:sz w:val="24"/>
          <w:szCs w:val="24"/>
          <w:lang w:val="en-US" w:eastAsia="zh-CN"/>
        </w:rPr>
        <w:t>2018驻华使馆（油气）推介会，</w:t>
      </w:r>
      <w:r>
        <w:rPr>
          <w:rFonts w:hint="eastAsia" w:ascii="微软雅黑" w:hAnsi="微软雅黑" w:eastAsia="微软雅黑"/>
          <w:b w:val="0"/>
          <w:bCs w:val="0"/>
          <w:i w:val="0"/>
          <w:iCs w:val="0"/>
          <w:sz w:val="24"/>
          <w:szCs w:val="24"/>
          <w:lang w:val="en-US" w:eastAsia="zh-CN"/>
        </w:rPr>
        <w:t>旨在为cippe展商与与专业观众深入的了解全球石油行业领域的发展动向、增加cippe展商与国际油气行业的合作机会、促进中国企业国际化发展，为展商与世界的合作搭建桥梁。</w:t>
      </w:r>
    </w:p>
    <w:p>
      <w:pPr>
        <w:pStyle w:val="6"/>
        <w:numPr>
          <w:ilvl w:val="0"/>
          <w:numId w:val="0"/>
        </w:numPr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3"/>
        </w:numPr>
        <w:ind w:firstLine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嘉宾及主题（拟定）：</w:t>
      </w:r>
    </w:p>
    <w:p>
      <w:pPr>
        <w:pStyle w:val="6"/>
        <w:numPr>
          <w:ilvl w:val="1"/>
          <w:numId w:val="3"/>
        </w:numPr>
        <w:ind w:left="840" w:leftChars="0" w:hanging="420" w:firstLine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2018年3月27日 下午14:00-16:30，“智造工业”，欧美专场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演讲嘉宾：挪威驻华商务部、俄罗斯对华油气主管、法国驻华商务投资署环能处主任、加拿大驻华参赞、德国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演讲主题：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中外油气行业双边贸易动态和发展方向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中外油气行业贸易合作与政策解读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中外（该国）以往成功合作经验分享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欧美油气领域高新技术工业发展动态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pStyle w:val="6"/>
        <w:numPr>
          <w:ilvl w:val="1"/>
          <w:numId w:val="3"/>
        </w:numPr>
        <w:ind w:left="840" w:leftChars="0" w:hanging="420" w:firstLine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2018年3月28日 上午09:30-12:00，中东海湾石油专场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演讲嘉宾：沙特阿拉伯王国（沙特阿美）、阿拉伯联合酋长国（阿联酋皇家石油）、科威特（科威特国家石油）、卡塔尔、阿曼和巴林王国的六个国家石油公司代表及国家石油部部长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演讲主题：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中外油气行业双边贸易动态和发展方向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中外油气行业贸易合作与政策解读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中外（该国）以往成功合作经验分享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国际石油巨头招商引资</w:t>
      </w:r>
    </w:p>
    <w:p>
      <w:pPr>
        <w:pStyle w:val="6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</w:p>
    <w:p>
      <w:pPr>
        <w:pStyle w:val="6"/>
        <w:numPr>
          <w:ilvl w:val="1"/>
          <w:numId w:val="3"/>
        </w:numPr>
        <w:ind w:left="840" w:leftChars="0" w:hanging="420" w:firstLine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2018年3月27日 下午14:00-16:30，“一带一路”走进非洲专场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演讲嘉宾：尼日利亚驻华商务部、阿尔及利亚驻华大使（Sonatrach）、南非以及埃及驻华使馆商务部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演讲主题：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中外油气行业双边贸易动态和发展方向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中外油气行业贸易合作与政策解读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中外（该国）以往成功合作经验分享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rFonts w:hint="eastAsia" w:ascii="微软雅黑" w:hAnsi="微软雅黑" w:eastAsia="微软雅黑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sz w:val="24"/>
          <w:szCs w:val="24"/>
          <w:lang w:val="en-US" w:eastAsia="zh-CN"/>
        </w:rPr>
        <w:t>国际石油巨头招商引资</w:t>
      </w:r>
    </w:p>
    <w:p>
      <w:pPr>
        <w:pStyle w:val="6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  <w:t>*注：因各种不可抗因素，议程或演讲嘉宾会发生变动，请以现场为准。</w:t>
      </w:r>
    </w:p>
    <w:p>
      <w:pP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cippe2018</w:t>
      </w: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驻华使馆（油气）推介会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搭建桥梁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t>●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促进合作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201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8年3月27-28日,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北京•中国国际展览中心(新馆，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W2馆，使馆区</w:t>
      </w:r>
    </w:p>
    <w:tbl>
      <w:tblPr>
        <w:tblStyle w:val="5"/>
        <w:tblpPr w:leftFromText="180" w:rightFromText="180" w:vertAnchor="text" w:horzAnchor="page" w:tblpX="377" w:tblpY="305"/>
        <w:tblOverlap w:val="never"/>
        <w:tblW w:w="11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3675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040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参会嘉宾报名表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公司名字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8535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参会嘉宾1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名字</w:t>
            </w: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参会嘉宾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名字</w:t>
            </w: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486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5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周春艳        座机： 010-5927 3853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传真： 010-5823 6567    邮箱： 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"mailto:lisa@zhenweiexpo.com"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lisa@zhenweiexpo.com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i w:val="0"/>
          <w:iCs w:val="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ingFang SC Regular">
    <w:altName w:val="微软雅黑"/>
    <w:panose1 w:val="00000000000000000000"/>
    <w:charset w:val="50"/>
    <w:family w:val="auto"/>
    <w:pitch w:val="default"/>
    <w:sig w:usb0="00000000" w:usb1="00000000" w:usb2="00000017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50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B0E"/>
    <w:multiLevelType w:val="multilevel"/>
    <w:tmpl w:val="10360B0E"/>
    <w:lvl w:ilvl="0" w:tentative="0">
      <w:start w:val="0"/>
      <w:numFmt w:val="bullet"/>
      <w:lvlText w:val="●"/>
      <w:lvlJc w:val="left"/>
      <w:pPr>
        <w:ind w:left="360" w:hanging="360"/>
      </w:pPr>
      <w:rPr>
        <w:rFonts w:hint="eastAsia" w:ascii="微软雅黑" w:hAnsi="微软雅黑" w:eastAsia="微软雅黑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08A3039"/>
    <w:multiLevelType w:val="multilevel"/>
    <w:tmpl w:val="108A3039"/>
    <w:lvl w:ilvl="0" w:tentative="0">
      <w:start w:val="0"/>
      <w:numFmt w:val="bullet"/>
      <w:lvlText w:val="●"/>
      <w:lvlJc w:val="left"/>
      <w:pPr>
        <w:ind w:left="360" w:hanging="360"/>
      </w:pPr>
      <w:rPr>
        <w:rFonts w:hint="eastAsia" w:ascii="微软雅黑" w:hAnsi="微软雅黑" w:eastAsia="微软雅黑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E596A7"/>
    <w:multiLevelType w:val="singleLevel"/>
    <w:tmpl w:val="59E596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28F5"/>
    <w:rsid w:val="0A147810"/>
    <w:rsid w:val="0A78156F"/>
    <w:rsid w:val="1DD17F1B"/>
    <w:rsid w:val="2C5F1141"/>
    <w:rsid w:val="2E4654C8"/>
    <w:rsid w:val="307E5F81"/>
    <w:rsid w:val="32AA570D"/>
    <w:rsid w:val="35397713"/>
    <w:rsid w:val="3C6E1E94"/>
    <w:rsid w:val="47B907CC"/>
    <w:rsid w:val="4E864713"/>
    <w:rsid w:val="51011E55"/>
    <w:rsid w:val="518740F1"/>
    <w:rsid w:val="536B36E3"/>
    <w:rsid w:val="54E52A8B"/>
    <w:rsid w:val="56700107"/>
    <w:rsid w:val="5B9353B0"/>
    <w:rsid w:val="5DDB11B4"/>
    <w:rsid w:val="60B33DEB"/>
    <w:rsid w:val="62043F06"/>
    <w:rsid w:val="62B365FD"/>
    <w:rsid w:val="6ED51044"/>
    <w:rsid w:val="73147E26"/>
    <w:rsid w:val="76A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41"/>
    <w:basedOn w:val="3"/>
    <w:qFormat/>
    <w:uiPriority w:val="0"/>
    <w:rPr>
      <w:rFonts w:hint="eastAsia" w:ascii="微软雅黑" w:hAnsi="微软雅黑" w:eastAsia="微软雅黑" w:cs="微软雅黑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Lyy</cp:lastModifiedBy>
  <dcterms:modified xsi:type="dcterms:W3CDTF">2017-11-08T02:31:44Z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