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Arial" w:hAnsi="宋体" w:cs="Arial"/>
          <w:b/>
          <w:bCs/>
          <w:sz w:val="30"/>
          <w:highlight w:val="none"/>
        </w:rPr>
      </w:pPr>
      <w:r>
        <w:rPr>
          <w:rFonts w:ascii="Arial" w:hAnsi="Arial" w:cs="Arial"/>
          <w:sz w:val="20"/>
          <w:highlight w:val="none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5581650</wp:posOffset>
            </wp:positionH>
            <wp:positionV relativeFrom="paragraph">
              <wp:posOffset>-297180</wp:posOffset>
            </wp:positionV>
            <wp:extent cx="685800" cy="640080"/>
            <wp:effectExtent l="0" t="0" r="0" b="7620"/>
            <wp:wrapNone/>
            <wp:docPr id="2" name="Picture 2" descr="UFI-认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FI-认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宋体" w:cs="Arial"/>
          <w:b/>
          <w:bCs/>
          <w:sz w:val="30"/>
          <w:highlight w:val="none"/>
        </w:rPr>
        <w:t>邀请函</w:t>
      </w:r>
    </w:p>
    <w:p>
      <w:pPr>
        <w:spacing w:line="300" w:lineRule="auto"/>
        <w:rPr>
          <w:rFonts w:ascii="Arial" w:hAnsi="Arial" w:cs="Arial"/>
          <w:sz w:val="30"/>
          <w:highlight w:val="none"/>
        </w:rPr>
      </w:pPr>
      <w:r>
        <w:rPr>
          <w:rFonts w:ascii="Arial" w:hAnsi="Arial" w:cs="Arial"/>
          <w:sz w:val="30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40005</wp:posOffset>
                </wp:positionV>
                <wp:extent cx="6076950" cy="600075"/>
                <wp:effectExtent l="6350" t="6350" r="25400" b="41275"/>
                <wp:wrapNone/>
                <wp:docPr id="3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000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: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： 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98" type="#_x0000_t98" style="position:absolute;left:0pt;margin-left:8.25pt;margin-top:3.15pt;height:47.25pt;width:478.5pt;z-index:251660288;mso-width-relative:page;mso-height-relative:page;" fillcolor="#FFFFFF" filled="t" stroked="t" coordsize="21600,21600" o:gfxdata="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bdrHUdUAAAAIAQAADwAAAAAAAAABACAA&#10;AAAiAAAAZHJzL2Rvd25yZXYueG1sUEsBAhQAFAAAAAgAh07iQFBuOwi7AgAAngUAAA4AAAAAAAAA&#10;AQAgAAAAJAEAAGRycy9lMm9Eb2MueG1sUEsFBgAAAAAGAAYAWQEAAFEGAAAAAA==&#10;" adj="2700">
                <v:fill type="gradient" on="t" color2="#B6DDE8" focus="100%" focussize="0,0"/>
                <v:stroke weight="1pt" color="#92CDDC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spacing w:line="360" w:lineRule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To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: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From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： 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tLeast"/>
        <w:rPr>
          <w:rFonts w:ascii="Arial" w:hAnsi="Arial" w:cs="Arial"/>
          <w:sz w:val="28"/>
          <w:highlight w:val="none"/>
        </w:rPr>
      </w:pPr>
    </w:p>
    <w:p>
      <w:pPr>
        <w:spacing w:line="360" w:lineRule="auto"/>
        <w:jc w:val="center"/>
        <w:rPr>
          <w:rFonts w:ascii="Arial" w:hAnsi="Arial" w:cs="Arial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drawing>
          <wp:inline distT="0" distB="0" distL="114300" distR="114300">
            <wp:extent cx="3476625" cy="809625"/>
            <wp:effectExtent l="0" t="0" r="9525" b="9525"/>
            <wp:docPr id="1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rPr>
          <w:rFonts w:ascii="Arial" w:hAnsi="Arial" w:cs="Arial"/>
          <w:highlight w:val="none"/>
        </w:rPr>
      </w:pPr>
    </w:p>
    <w:p>
      <w:pPr>
        <w:spacing w:line="360" w:lineRule="auto"/>
        <w:jc w:val="center"/>
        <w:rPr>
          <w:rFonts w:ascii="黑体" w:hAnsi="Arial" w:eastAsia="黑体" w:cs="Arial"/>
          <w:b/>
          <w:bCs/>
          <w:spacing w:val="20"/>
          <w:sz w:val="36"/>
          <w:szCs w:val="36"/>
          <w:highlight w:val="none"/>
        </w:rPr>
      </w:pPr>
      <w:r>
        <w:rPr>
          <w:rFonts w:hint="eastAsia" w:ascii="黑体" w:hAnsi="宋体" w:eastAsia="黑体" w:cs="Arial"/>
          <w:b/>
          <w:bCs/>
          <w:spacing w:val="20"/>
          <w:sz w:val="36"/>
          <w:szCs w:val="36"/>
          <w:highlight w:val="none"/>
        </w:rPr>
        <w:t>第二十</w:t>
      </w:r>
      <w:r>
        <w:rPr>
          <w:rFonts w:hint="eastAsia" w:ascii="黑体" w:hAnsi="宋体" w:eastAsia="黑体" w:cs="Arial"/>
          <w:b/>
          <w:bCs/>
          <w:spacing w:val="20"/>
          <w:sz w:val="36"/>
          <w:szCs w:val="36"/>
          <w:highlight w:val="none"/>
          <w:lang w:val="en-US" w:eastAsia="zh-CN"/>
        </w:rPr>
        <w:t>四</w:t>
      </w:r>
      <w:r>
        <w:rPr>
          <w:rFonts w:hint="eastAsia" w:ascii="黑体" w:hAnsi="宋体" w:eastAsia="黑体" w:cs="Arial"/>
          <w:b/>
          <w:bCs/>
          <w:spacing w:val="20"/>
          <w:sz w:val="36"/>
          <w:szCs w:val="36"/>
          <w:highlight w:val="none"/>
        </w:rPr>
        <w:t>届中国国际石油石化技术装备展览会</w:t>
      </w:r>
    </w:p>
    <w:p>
      <w:pPr>
        <w:pStyle w:val="7"/>
        <w:spacing w:line="360" w:lineRule="auto"/>
        <w:ind w:firstLine="0"/>
        <w:jc w:val="center"/>
        <w:rPr>
          <w:rFonts w:ascii="Arial" w:hAnsi="Arial" w:eastAsia="宋体" w:cs="Arial"/>
          <w:spacing w:val="20"/>
          <w:highlight w:val="none"/>
        </w:rPr>
      </w:pPr>
      <w:r>
        <w:rPr>
          <w:rFonts w:ascii="Arial" w:hAnsi="Arial" w:eastAsia="宋体" w:cs="Arial"/>
          <w:highlight w:val="none"/>
        </w:rPr>
        <w:t xml:space="preserve">The </w:t>
      </w:r>
      <w:r>
        <w:rPr>
          <w:rFonts w:hint="eastAsia" w:ascii="Arial" w:hAnsi="Arial" w:eastAsia="宋体" w:cs="Arial"/>
          <w:highlight w:val="none"/>
        </w:rPr>
        <w:t>2</w:t>
      </w:r>
      <w:r>
        <w:rPr>
          <w:rFonts w:hint="eastAsia" w:ascii="Arial" w:hAnsi="Arial" w:eastAsia="宋体" w:cs="Arial"/>
          <w:highlight w:val="none"/>
          <w:lang w:val="en-US" w:eastAsia="zh-CN"/>
        </w:rPr>
        <w:t>4</w:t>
      </w:r>
      <w:r>
        <w:rPr>
          <w:rFonts w:hint="eastAsia" w:ascii="Arial" w:hAnsi="Arial" w:eastAsia="宋体" w:cs="Arial"/>
          <w:highlight w:val="none"/>
          <w:vertAlign w:val="superscript"/>
          <w:lang w:val="en-US" w:eastAsia="zh-CN"/>
        </w:rPr>
        <w:t>rd</w:t>
      </w:r>
      <w:r>
        <w:rPr>
          <w:rFonts w:ascii="Arial" w:hAnsi="Arial" w:eastAsia="宋体" w:cs="Arial"/>
          <w:highlight w:val="none"/>
        </w:rPr>
        <w:t xml:space="preserve">China International Petroleum &amp; Petrochemical Technology and Equipment Exhibition </w:t>
      </w:r>
    </w:p>
    <w:p>
      <w:pPr>
        <w:spacing w:line="320" w:lineRule="exact"/>
        <w:jc w:val="center"/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52705</wp:posOffset>
                </wp:positionV>
                <wp:extent cx="5800725" cy="0"/>
                <wp:effectExtent l="0" t="0" r="0" b="0"/>
                <wp:wrapNone/>
                <wp:docPr id="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30.75pt;margin-top:4.15pt;height:0pt;width:456.75pt;z-index:251661312;mso-width-relative:page;mso-height-relative:page;" filled="f" stroked="t" coordsize="21600,21600" o:gfxdata="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fhNf9QAAAAGAQAADwAAAAAAAAABACAAAAAiAAAA&#10;ZHJzL2Rvd25yZXYueG1sUEsBAhQAFAAAAAgAh07iQJYih5rSAQAAzQMAAA4AAAAAAAAAAQAgAAAA&#10;Iw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6"/>
        <w:widowControl/>
        <w:shd w:val="clear" w:color="auto" w:fill="FFFFFF"/>
        <w:spacing w:before="300" w:beforeAutospacing="0" w:after="150" w:afterAutospacing="0" w:line="17" w:lineRule="atLeast"/>
        <w:jc w:val="center"/>
        <w:rPr>
          <w:rFonts w:hint="default" w:ascii="Arial" w:cs="Arial"/>
          <w:bCs/>
          <w:sz w:val="28"/>
          <w:highlight w:val="none"/>
        </w:rPr>
      </w:pPr>
      <w:r>
        <w:rPr>
          <w:rFonts w:ascii="Arial" w:hAnsi="Arial" w:cs="Arial"/>
          <w:bCs/>
          <w:sz w:val="28"/>
          <w:highlight w:val="none"/>
        </w:rPr>
        <w:t>202</w:t>
      </w:r>
      <w:r>
        <w:rPr>
          <w:rFonts w:hint="eastAsia" w:ascii="Arial" w:hAnsi="Arial" w:cs="Arial"/>
          <w:bCs/>
          <w:sz w:val="28"/>
          <w:highlight w:val="none"/>
          <w:lang w:val="en-US" w:eastAsia="zh-CN"/>
        </w:rPr>
        <w:t>4</w:t>
      </w:r>
      <w:r>
        <w:rPr>
          <w:rFonts w:ascii="Arial" w:cs="Arial"/>
          <w:sz w:val="28"/>
          <w:highlight w:val="none"/>
        </w:rPr>
        <w:t>年</w:t>
      </w:r>
      <w:r>
        <w:rPr>
          <w:rFonts w:hint="eastAsia" w:ascii="Arial" w:cs="Arial"/>
          <w:sz w:val="28"/>
          <w:highlight w:val="none"/>
          <w:lang w:val="en-US" w:eastAsia="zh-CN"/>
        </w:rPr>
        <w:t>3</w:t>
      </w:r>
      <w:r>
        <w:rPr>
          <w:rFonts w:ascii="Arial" w:cs="Arial"/>
          <w:sz w:val="28"/>
          <w:highlight w:val="none"/>
        </w:rPr>
        <w:t>月</w:t>
      </w:r>
      <w:r>
        <w:rPr>
          <w:rFonts w:hint="eastAsia" w:ascii="Arial" w:hAnsi="Arial" w:cs="Arial"/>
          <w:bCs/>
          <w:sz w:val="28"/>
          <w:highlight w:val="none"/>
          <w:lang w:val="en-US" w:eastAsia="zh-CN"/>
        </w:rPr>
        <w:t>25</w:t>
      </w:r>
      <w:r>
        <w:rPr>
          <w:rFonts w:ascii="Arial" w:hAnsi="Arial" w:cs="Arial"/>
          <w:bCs/>
          <w:sz w:val="28"/>
          <w:highlight w:val="none"/>
        </w:rPr>
        <w:t>-</w:t>
      </w:r>
      <w:r>
        <w:rPr>
          <w:rFonts w:hint="eastAsia" w:ascii="Arial" w:hAnsi="Arial" w:cs="Arial"/>
          <w:sz w:val="28"/>
          <w:highlight w:val="none"/>
          <w:lang w:val="en-US" w:eastAsia="zh-CN"/>
        </w:rPr>
        <w:t xml:space="preserve"> 27</w:t>
      </w:r>
      <w:r>
        <w:rPr>
          <w:rFonts w:ascii="Arial" w:cs="Arial"/>
          <w:sz w:val="28"/>
          <w:highlight w:val="none"/>
        </w:rPr>
        <w:t>日  北京</w:t>
      </w:r>
      <w:r>
        <w:rPr>
          <w:rFonts w:cs="宋体"/>
          <w:sz w:val="28"/>
          <w:highlight w:val="none"/>
        </w:rPr>
        <w:t>·</w:t>
      </w:r>
      <w:r>
        <w:rPr>
          <w:rFonts w:ascii="Arial" w:cs="Arial"/>
          <w:sz w:val="28"/>
          <w:highlight w:val="none"/>
        </w:rPr>
        <w:t>中国国际展览中心(新馆)</w:t>
      </w:r>
    </w:p>
    <w:p>
      <w:pPr>
        <w:spacing w:line="320" w:lineRule="exact"/>
        <w:rPr>
          <w:rFonts w:ascii="Arial" w:hAnsi="Arial" w:cs="Arial"/>
          <w:b/>
          <w:bCs/>
          <w:sz w:val="28"/>
          <w:highlight w:val="none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highlight w:val="none"/>
        </w:rPr>
      </w:pPr>
    </w:p>
    <w:p>
      <w:pPr>
        <w:spacing w:line="500" w:lineRule="exact"/>
        <w:ind w:firstLine="1566" w:firstLineChars="300"/>
        <w:rPr>
          <w:rFonts w:hint="eastAsia" w:ascii="宋体" w:hAnsi="宋体" w:eastAsia="宋体" w:cs="宋体"/>
          <w:b/>
          <w:bCs/>
          <w:sz w:val="52"/>
          <w:szCs w:val="52"/>
          <w:highlight w:val="none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</w:rPr>
        <w:t>一年一度的世界石油天然气大会</w:t>
      </w:r>
    </w:p>
    <w:p>
      <w:pPr>
        <w:spacing w:line="420" w:lineRule="exact"/>
        <w:ind w:firstLine="2866" w:firstLineChars="840"/>
        <w:jc w:val="left"/>
        <w:rPr>
          <w:rFonts w:hint="eastAsia" w:ascii="宋体" w:hAnsi="宋体" w:eastAsia="宋体" w:cs="宋体"/>
          <w:b/>
          <w:bCs/>
          <w:i/>
          <w:spacing w:val="2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i/>
          <w:spacing w:val="20"/>
          <w:sz w:val="30"/>
          <w:szCs w:val="30"/>
          <w:highlight w:val="none"/>
        </w:rPr>
        <w:t>65</w:t>
      </w:r>
      <w:r>
        <w:rPr>
          <w:rFonts w:hint="eastAsia" w:ascii="宋体" w:hAnsi="宋体" w:eastAsia="宋体" w:cs="宋体"/>
          <w:b/>
          <w:bCs/>
          <w:spacing w:val="20"/>
          <w:sz w:val="24"/>
          <w:highlight w:val="none"/>
        </w:rPr>
        <w:t>个国家和地区</w:t>
      </w:r>
      <w:r>
        <w:rPr>
          <w:rFonts w:hint="eastAsia" w:ascii="宋体" w:hAnsi="宋体" w:eastAsia="宋体" w:cs="宋体"/>
          <w:b/>
          <w:bCs/>
          <w:i/>
          <w:spacing w:val="20"/>
          <w:sz w:val="30"/>
          <w:szCs w:val="30"/>
          <w:highlight w:val="none"/>
        </w:rPr>
        <w:t>1</w:t>
      </w:r>
      <w:r>
        <w:rPr>
          <w:rFonts w:hint="eastAsia" w:ascii="宋体" w:hAnsi="宋体" w:eastAsia="宋体" w:cs="宋体"/>
          <w:b/>
          <w:bCs/>
          <w:i/>
          <w:spacing w:val="20"/>
          <w:sz w:val="30"/>
          <w:szCs w:val="30"/>
          <w:highlight w:val="none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i/>
          <w:spacing w:val="20"/>
          <w:sz w:val="30"/>
          <w:szCs w:val="30"/>
          <w:highlight w:val="none"/>
        </w:rPr>
        <w:t>800</w:t>
      </w:r>
      <w:r>
        <w:rPr>
          <w:rFonts w:hint="eastAsia" w:ascii="宋体" w:hAnsi="宋体" w:eastAsia="宋体" w:cs="宋体"/>
          <w:b/>
          <w:bCs/>
          <w:spacing w:val="20"/>
          <w:sz w:val="24"/>
          <w:highlight w:val="none"/>
        </w:rPr>
        <w:t>家展商</w:t>
      </w:r>
    </w:p>
    <w:p>
      <w:pPr>
        <w:spacing w:line="420" w:lineRule="exact"/>
        <w:ind w:firstLine="2354" w:firstLineChars="690"/>
        <w:jc w:val="left"/>
        <w:rPr>
          <w:rFonts w:hint="eastAsia" w:ascii="宋体" w:hAnsi="宋体" w:eastAsia="宋体" w:cs="宋体"/>
          <w:b/>
          <w:bCs/>
          <w:spacing w:val="2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i/>
          <w:spacing w:val="20"/>
          <w:sz w:val="30"/>
          <w:szCs w:val="30"/>
          <w:highlight w:val="none"/>
        </w:rPr>
        <w:t>46</w:t>
      </w:r>
      <w:r>
        <w:rPr>
          <w:rFonts w:hint="eastAsia" w:ascii="宋体" w:hAnsi="宋体" w:eastAsia="宋体" w:cs="宋体"/>
          <w:b/>
          <w:bCs/>
          <w:spacing w:val="20"/>
          <w:sz w:val="24"/>
          <w:highlight w:val="none"/>
        </w:rPr>
        <w:t>家世界</w:t>
      </w:r>
      <w:r>
        <w:rPr>
          <w:rFonts w:hint="eastAsia" w:ascii="宋体" w:hAnsi="宋体" w:eastAsia="宋体" w:cs="宋体"/>
          <w:b/>
          <w:bCs/>
          <w:i/>
          <w:spacing w:val="20"/>
          <w:sz w:val="30"/>
          <w:szCs w:val="30"/>
          <w:highlight w:val="none"/>
        </w:rPr>
        <w:t>500</w:t>
      </w:r>
      <w:r>
        <w:rPr>
          <w:rFonts w:hint="eastAsia" w:ascii="宋体" w:hAnsi="宋体" w:eastAsia="宋体" w:cs="宋体"/>
          <w:b/>
          <w:bCs/>
          <w:spacing w:val="20"/>
          <w:sz w:val="24"/>
          <w:highlight w:val="none"/>
        </w:rPr>
        <w:t>强企业</w:t>
      </w:r>
      <w:r>
        <w:rPr>
          <w:rFonts w:hint="eastAsia" w:ascii="宋体" w:hAnsi="宋体" w:eastAsia="宋体" w:cs="宋体"/>
          <w:b/>
          <w:bCs/>
          <w:i/>
          <w:spacing w:val="20"/>
          <w:sz w:val="30"/>
          <w:szCs w:val="30"/>
          <w:highlight w:val="none"/>
        </w:rPr>
        <w:t>18</w:t>
      </w:r>
      <w:r>
        <w:rPr>
          <w:rFonts w:hint="eastAsia" w:ascii="宋体" w:hAnsi="宋体" w:eastAsia="宋体" w:cs="宋体"/>
          <w:b/>
          <w:bCs/>
          <w:spacing w:val="20"/>
          <w:sz w:val="24"/>
          <w:highlight w:val="none"/>
        </w:rPr>
        <w:t>个国际展团</w:t>
      </w:r>
    </w:p>
    <w:p>
      <w:pPr>
        <w:spacing w:line="420" w:lineRule="exact"/>
        <w:ind w:firstLine="2013" w:firstLineChars="590"/>
        <w:jc w:val="left"/>
        <w:rPr>
          <w:rFonts w:hint="eastAsia" w:ascii="宋体" w:hAnsi="宋体" w:eastAsia="宋体" w:cs="宋体"/>
          <w:b/>
          <w:bCs/>
          <w:spacing w:val="20"/>
          <w:sz w:val="24"/>
          <w:highlight w:val="none"/>
        </w:rPr>
      </w:pPr>
      <w:r>
        <w:rPr>
          <w:rFonts w:hint="eastAsia" w:ascii="宋体" w:hAnsi="宋体" w:cs="宋体"/>
          <w:b/>
          <w:bCs/>
          <w:i/>
          <w:spacing w:val="20"/>
          <w:sz w:val="30"/>
          <w:szCs w:val="30"/>
          <w:highlight w:val="none"/>
          <w:lang w:val="en-US" w:eastAsia="zh-CN"/>
        </w:rPr>
        <w:t>120</w:t>
      </w:r>
      <w:r>
        <w:rPr>
          <w:rFonts w:hint="eastAsia" w:ascii="宋体" w:hAnsi="宋体" w:eastAsia="宋体" w:cs="宋体"/>
          <w:b/>
          <w:bCs/>
          <w:i/>
          <w:spacing w:val="20"/>
          <w:sz w:val="30"/>
          <w:szCs w:val="30"/>
          <w:highlight w:val="none"/>
        </w:rPr>
        <w:t>,000</w:t>
      </w:r>
      <w:r>
        <w:rPr>
          <w:rFonts w:hint="eastAsia" w:ascii="宋体" w:hAnsi="宋体" w:eastAsia="宋体" w:cs="宋体"/>
          <w:b/>
          <w:bCs/>
          <w:spacing w:val="20"/>
          <w:sz w:val="24"/>
          <w:highlight w:val="none"/>
        </w:rPr>
        <w:t xml:space="preserve">平米展出面积 </w:t>
      </w:r>
      <w:r>
        <w:rPr>
          <w:rFonts w:hint="eastAsia" w:ascii="宋体" w:hAnsi="宋体" w:eastAsia="宋体" w:cs="宋体"/>
          <w:b/>
          <w:bCs/>
          <w:i/>
          <w:spacing w:val="20"/>
          <w:sz w:val="30"/>
          <w:szCs w:val="30"/>
          <w:highlight w:val="none"/>
        </w:rPr>
        <w:t>1</w:t>
      </w:r>
      <w:r>
        <w:rPr>
          <w:rFonts w:hint="eastAsia" w:ascii="宋体" w:hAnsi="宋体" w:cs="宋体"/>
          <w:b/>
          <w:bCs/>
          <w:i/>
          <w:spacing w:val="20"/>
          <w:sz w:val="30"/>
          <w:szCs w:val="30"/>
          <w:highlight w:val="none"/>
          <w:lang w:val="en-US" w:eastAsia="zh-CN"/>
        </w:rPr>
        <w:t>50</w:t>
      </w:r>
      <w:r>
        <w:rPr>
          <w:rFonts w:hint="eastAsia" w:ascii="宋体" w:hAnsi="宋体" w:eastAsia="宋体" w:cs="宋体"/>
          <w:b/>
          <w:bCs/>
          <w:i/>
          <w:spacing w:val="20"/>
          <w:sz w:val="30"/>
          <w:szCs w:val="30"/>
          <w:highlight w:val="none"/>
        </w:rPr>
        <w:t>,000</w:t>
      </w:r>
      <w:r>
        <w:rPr>
          <w:rFonts w:hint="eastAsia" w:ascii="宋体" w:hAnsi="宋体" w:eastAsia="宋体" w:cs="宋体"/>
          <w:b/>
          <w:bCs/>
          <w:spacing w:val="20"/>
          <w:sz w:val="24"/>
          <w:highlight w:val="none"/>
        </w:rPr>
        <w:t>专业观众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b/>
          <w:bCs/>
          <w:spacing w:val="20"/>
          <w:szCs w:val="21"/>
          <w:highlight w:val="none"/>
        </w:rPr>
      </w:pPr>
    </w:p>
    <w:p>
      <w:pPr>
        <w:spacing w:line="360" w:lineRule="auto"/>
        <w:ind w:firstLine="4130" w:firstLineChars="1470"/>
        <w:jc w:val="left"/>
        <w:rPr>
          <w:rFonts w:hint="eastAsia" w:asciiTheme="minorEastAsia" w:hAnsiTheme="minorEastAsia" w:eastAsiaTheme="minorEastAsia" w:cstheme="minorEastAsia"/>
          <w:b/>
          <w:bCs/>
          <w:spacing w:val="2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20"/>
          <w:sz w:val="24"/>
          <w:highlight w:val="none"/>
        </w:rPr>
        <w:t>主办单位</w:t>
      </w:r>
    </w:p>
    <w:p>
      <w:pPr>
        <w:spacing w:line="360" w:lineRule="auto"/>
        <w:ind w:firstLine="3750" w:firstLineChars="1500"/>
        <w:rPr>
          <w:rFonts w:hint="eastAsia" w:asciiTheme="minorEastAsia" w:hAnsiTheme="minorEastAsia" w:eastAsiaTheme="minorEastAsia" w:cstheme="minorEastAsia"/>
          <w:bCs/>
          <w:spacing w:val="20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pacing w:val="20"/>
          <w:szCs w:val="21"/>
          <w:highlight w:val="none"/>
        </w:rPr>
        <w:t>振威国际会展集团</w:t>
      </w:r>
    </w:p>
    <w:p>
      <w:pPr>
        <w:spacing w:line="360" w:lineRule="auto"/>
        <w:ind w:firstLine="3500" w:firstLineChars="1400"/>
        <w:rPr>
          <w:rFonts w:ascii="Arial" w:hAnsi="宋体" w:cs="Arial"/>
          <w:bCs/>
          <w:spacing w:val="20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pacing w:val="20"/>
          <w:szCs w:val="21"/>
          <w:highlight w:val="none"/>
        </w:rPr>
        <w:t>北京振威展览有限公司</w:t>
      </w:r>
    </w:p>
    <w:p>
      <w:pPr>
        <w:spacing w:line="440" w:lineRule="exact"/>
        <w:ind w:firstLine="3687" w:firstLineChars="1470"/>
        <w:rPr>
          <w:rFonts w:ascii="Arial" w:hAnsi="宋体" w:cs="Arial"/>
          <w:b/>
          <w:bCs/>
          <w:spacing w:val="20"/>
          <w:szCs w:val="21"/>
          <w:highlight w:val="none"/>
        </w:rPr>
      </w:pPr>
    </w:p>
    <w:p>
      <w:pPr>
        <w:spacing w:line="360" w:lineRule="auto"/>
        <w:ind w:firstLine="4130" w:firstLineChars="1470"/>
        <w:rPr>
          <w:rFonts w:hint="eastAsia" w:asciiTheme="minorEastAsia" w:hAnsiTheme="minorEastAsia" w:eastAsiaTheme="minorEastAsia" w:cstheme="minorEastAsia"/>
          <w:b/>
          <w:bCs/>
          <w:spacing w:val="2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20"/>
          <w:sz w:val="24"/>
          <w:highlight w:val="none"/>
        </w:rPr>
        <w:t>支持单位</w:t>
      </w:r>
    </w:p>
    <w:p>
      <w:pPr>
        <w:widowControl/>
        <w:spacing w:line="360" w:lineRule="auto"/>
        <w:ind w:firstLine="3465" w:firstLineChars="1650"/>
        <w:rPr>
          <w:rFonts w:hint="eastAsia" w:asciiTheme="minorEastAsia" w:hAnsiTheme="minorEastAsia" w:eastAsiaTheme="minorEastAsia" w:cstheme="minorEastAsia"/>
          <w:kern w:val="0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  <w:highlight w:val="none"/>
        </w:rPr>
        <w:t>中国石油和化学工业联合会</w:t>
      </w:r>
    </w:p>
    <w:p>
      <w:pPr>
        <w:widowControl/>
        <w:spacing w:line="360" w:lineRule="auto"/>
        <w:ind w:firstLine="3150" w:firstLineChars="1500"/>
        <w:rPr>
          <w:rFonts w:hint="eastAsia" w:asciiTheme="minorEastAsia" w:hAnsiTheme="minorEastAsia" w:eastAsiaTheme="minorEastAsia" w:cstheme="minorEastAsia"/>
          <w:kern w:val="0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  <w:highlight w:val="none"/>
        </w:rPr>
        <w:t>中国石油和石油化工设备工业协会</w:t>
      </w:r>
    </w:p>
    <w:p>
      <w:pPr>
        <w:widowControl/>
        <w:spacing w:line="360" w:lineRule="auto"/>
        <w:ind w:firstLine="3150" w:firstLineChars="1500"/>
        <w:rPr>
          <w:rFonts w:hint="eastAsia" w:asciiTheme="minorEastAsia" w:hAnsiTheme="minorEastAsia" w:eastAsiaTheme="minorEastAsia" w:cstheme="minorEastAsia"/>
          <w:kern w:val="0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  <w:highlight w:val="none"/>
        </w:rPr>
        <w:t xml:space="preserve"> 中国电器工业协会防爆电器分会</w:t>
      </w:r>
    </w:p>
    <w:p>
      <w:pPr>
        <w:spacing w:line="420" w:lineRule="exact"/>
        <w:ind w:right="372" w:rightChars="177"/>
        <w:rPr>
          <w:rFonts w:ascii="Arial" w:hAnsi="宋体" w:cs="Arial"/>
          <w:b/>
          <w:bCs/>
          <w:szCs w:val="21"/>
          <w:highlight w:val="none"/>
          <w:shd w:val="pct10" w:color="auto" w:fill="FFFFFF"/>
        </w:rPr>
      </w:pPr>
      <w:r>
        <w:rPr>
          <w:highlight w:val="non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2308225</wp:posOffset>
            </wp:positionH>
            <wp:positionV relativeFrom="paragraph">
              <wp:posOffset>151765</wp:posOffset>
            </wp:positionV>
            <wp:extent cx="1276350" cy="842645"/>
            <wp:effectExtent l="0" t="0" r="6350" b="8255"/>
            <wp:wrapNone/>
            <wp:docPr id="9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20" w:lineRule="exact"/>
        <w:ind w:right="372" w:rightChars="177"/>
        <w:rPr>
          <w:rFonts w:ascii="Arial" w:hAnsi="宋体" w:cs="Arial"/>
          <w:b/>
          <w:bCs/>
          <w:szCs w:val="21"/>
          <w:highlight w:val="none"/>
          <w:shd w:val="pct10" w:color="auto" w:fill="FFFFFF"/>
        </w:rPr>
      </w:pPr>
    </w:p>
    <w:p>
      <w:pPr>
        <w:spacing w:line="420" w:lineRule="exact"/>
        <w:ind w:right="372" w:rightChars="177"/>
        <w:rPr>
          <w:rFonts w:ascii="Arial" w:hAnsi="宋体" w:cs="Arial"/>
          <w:b/>
          <w:bCs/>
          <w:szCs w:val="21"/>
          <w:highlight w:val="none"/>
          <w:shd w:val="pct10" w:color="auto" w:fill="FFFFFF"/>
        </w:rPr>
      </w:pPr>
    </w:p>
    <w:p>
      <w:pPr>
        <w:spacing w:line="420" w:lineRule="exact"/>
        <w:ind w:right="372" w:rightChars="177"/>
        <w:rPr>
          <w:rFonts w:ascii="Arial" w:hAnsi="宋体" w:cs="Arial"/>
          <w:b/>
          <w:bCs/>
          <w:szCs w:val="21"/>
          <w:highlight w:val="none"/>
          <w:shd w:val="pct10" w:color="auto" w:fill="FFFFFF"/>
        </w:rPr>
      </w:pPr>
    </w:p>
    <w:p>
      <w:pPr>
        <w:spacing w:line="420" w:lineRule="exact"/>
        <w:ind w:right="372" w:rightChars="177"/>
        <w:rPr>
          <w:rFonts w:ascii="Arial" w:hAnsi="宋体" w:cs="Arial"/>
          <w:b/>
          <w:bCs/>
          <w:szCs w:val="21"/>
          <w:highlight w:val="none"/>
          <w:shd w:val="pct10" w:color="auto" w:fill="FFFFFF"/>
        </w:rPr>
      </w:pPr>
    </w:p>
    <w:p>
      <w:pPr>
        <w:spacing w:line="420" w:lineRule="exact"/>
        <w:ind w:right="372" w:rightChars="177"/>
        <w:rPr>
          <w:rFonts w:hint="eastAsia" w:asciiTheme="minorEastAsia" w:hAnsiTheme="minorEastAsia" w:eastAsiaTheme="minorEastAsia" w:cstheme="minorEastAsia"/>
          <w:b/>
          <w:bCs/>
          <w:szCs w:val="21"/>
          <w:highlight w:val="none"/>
          <w:shd w:val="pct10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  <w:highlight w:val="none"/>
          <w:shd w:val="pct10" w:color="auto" w:fill="FFFFFF"/>
        </w:rPr>
        <w:t>展会概况</w:t>
      </w:r>
    </w:p>
    <w:p>
      <w:pPr>
        <w:spacing w:line="420" w:lineRule="exact"/>
        <w:ind w:firstLine="420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中国国际石油石化技术装备展览会（简称cippe），是国际石油石化行业例会。cippe吸引了来自全球65个国家和地区的1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800家展商，世界500强企业46家，国际展团18个，专业观众1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lang w:val="en-US" w:eastAsia="zh-CN"/>
        </w:rPr>
        <w:t>50,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000人次，展会面积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lang w:val="en-US" w:eastAsia="zh-CN"/>
        </w:rPr>
        <w:t>120,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 xml:space="preserve">000平米，目前已成为一年一度的世界石油天然气大会。 </w:t>
      </w:r>
    </w:p>
    <w:p>
      <w:pPr>
        <w:spacing w:line="420" w:lineRule="exact"/>
        <w:ind w:firstLine="420"/>
        <w:rPr>
          <w:rFonts w:hint="eastAsia" w:asciiTheme="minorEastAsia" w:hAnsiTheme="minorEastAsia" w:eastAsiaTheme="minorEastAsia" w:cstheme="minorEastAsia"/>
          <w:b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Cs w:val="21"/>
          <w:highlight w:val="none"/>
        </w:rPr>
        <w:t>cippe国际展商质量持续提升</w:t>
      </w:r>
    </w:p>
    <w:p>
      <w:pPr>
        <w:spacing w:line="420" w:lineRule="exact"/>
        <w:ind w:firstLine="420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从2001年至今，cippe已经成功举办2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届。展会有美国、德国、俄罗斯、加拿大、英国、法国、意大利、苏格兰、韩国等18个国际展团参展。国际展商包括埃克森美孚、俄油、俄气、俄罗斯管道运输、卡特彼勒、国民油井、斯伦贝谢、贝克休斯、GE、ABB、卡麦龙、霍尼韦尔、飞利浦、施耐德、陶氏化学、罗克韦尔、康明斯、艾默生、康士伯 、3M、AkzoNobel、API、E+H、MTU、ARIEL、KSB、泰科、Atlas Copco、Forum、豪氏威马、山特维克、雅柯斯、海虹老人、都福、伊顿、奥创、艾里逊、康迪泰克等。</w:t>
      </w:r>
    </w:p>
    <w:p>
      <w:pPr>
        <w:spacing w:line="420" w:lineRule="exact"/>
        <w:ind w:firstLine="420"/>
        <w:rPr>
          <w:rFonts w:hint="eastAsia" w:asciiTheme="minorEastAsia" w:hAnsiTheme="minorEastAsia" w:eastAsiaTheme="minorEastAsia" w:cstheme="minorEastAsia"/>
          <w:b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Cs w:val="21"/>
          <w:highlight w:val="none"/>
        </w:rPr>
        <w:t>cippe国内企业重装组团亮相</w:t>
      </w:r>
    </w:p>
    <w:p>
      <w:pPr>
        <w:spacing w:line="420" w:lineRule="exact"/>
        <w:ind w:firstLine="420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国内知名参展企业有中国石油装备展团、中石化、中海油、国家管网、中国中化、中国船舶集团、中国航天、中国中车、延长石油、宏华、杰瑞、科瑞、三一集团、南阳二机、东营经济技术开发区、浩铂智能、中信重工、潍柴、安东石油、东方先科、上海神开、百施特、中油科昊、海默科技、百勤油服、西部石油、玉柴、大冶特钢、海隆石油、冠能固控、国兴汇金、中世钛业、西部石油、如通股份、恒泰万博、格瑞迪斯、海洋王等。</w:t>
      </w:r>
    </w:p>
    <w:p>
      <w:pPr>
        <w:spacing w:line="420" w:lineRule="exact"/>
        <w:ind w:firstLine="420"/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cippe买家云集活动精彩纷呈</w:t>
      </w:r>
    </w:p>
    <w:p>
      <w:pPr>
        <w:spacing w:line="420" w:lineRule="exact"/>
        <w:ind w:firstLine="420"/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cippe有俄油、俄气、沙特阿美、伊朗国家石油、马来西亚国家石油、哈萨克斯坦国家石油天然气公司、埃克森美孚、BP、壳牌、道达尔、康菲、雪佛龙、哈里伯顿、斯伦贝谢、贝克休斯、德希尼布FMC、福陆工程、三星工程、韩国现代工程建设、英国派特法石油工程公司、中石油、中石化、中海油、国家管网、延长石油、中国航天科技、中国船舶集团、中国核工业集团、中化、神华、中煤、陕西能源局、山西能源局、总后装备采购部、北京市燃气集团、天津市燃气集团、新奥能源、华北市政总院、惠生工程、中曼石油、振华石油等上百个国内外专业采购团现场参观洽谈。展会同期举办了“展品创新金奖”、“国际石油天然气产业高峰论坛”、“石油院校技术成果交流会”、“国际石油石化技术会议”、“驻华使馆（油气）推介会”、“采购对接会”等系列会议活动，获得了行业组织、政府相关机构的赞誉。</w:t>
      </w:r>
    </w:p>
    <w:p>
      <w:pPr>
        <w:spacing w:line="420" w:lineRule="exact"/>
        <w:ind w:firstLine="420"/>
        <w:rPr>
          <w:rFonts w:hint="eastAsia" w:asciiTheme="minorEastAsia" w:hAnsiTheme="minorEastAsia" w:eastAsiaTheme="minorEastAsia" w:cstheme="minorEastAsia"/>
          <w:b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Cs w:val="21"/>
          <w:highlight w:val="none"/>
        </w:rPr>
        <w:t>cippe媒体聚焦全球同步报道</w:t>
      </w:r>
    </w:p>
    <w:p>
      <w:pPr>
        <w:spacing w:line="420" w:lineRule="exact"/>
        <w:ind w:firstLine="420" w:firstLineChars="20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展会有新华社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highlight w:val="none"/>
        </w:rPr>
        <w:t>人民日报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highlight w:val="none"/>
        </w:rPr>
        <w:t>中央电视台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highlight w:val="none"/>
        </w:rPr>
        <w:t>中国日报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highlight w:val="none"/>
        </w:rPr>
        <w:t>中国石油报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highlight w:val="none"/>
        </w:rPr>
        <w:t>中国石化报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、石油商报、</w:t>
      </w:r>
      <w:r>
        <w:rPr>
          <w:rFonts w:hint="eastAsia" w:asciiTheme="minorEastAsia" w:hAnsiTheme="minorEastAsia" w:eastAsiaTheme="minorEastAsia" w:cstheme="minorEastAsia"/>
          <w:kern w:val="0"/>
          <w:szCs w:val="21"/>
          <w:highlight w:val="none"/>
        </w:rPr>
        <w:t>Upstream、Worldoils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Cs w:val="21"/>
          <w:highlight w:val="none"/>
        </w:rPr>
        <w:t xml:space="preserve"> Digital Refining、Oil &amp; Gas Product News、Gulfoilfield Directory、</w:t>
      </w:r>
      <w:r>
        <w:rPr>
          <w:rFonts w:hint="eastAsia" w:asciiTheme="minorEastAsia" w:hAnsiTheme="minorEastAsia" w:eastAsiaTheme="minorEastAsia" w:cstheme="minorEastAsia"/>
          <w:highlight w:val="none"/>
        </w:rPr>
        <w:t>中国证券报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highlight w:val="none"/>
        </w:rPr>
        <w:t>上海证券报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highlight w:val="none"/>
        </w:rPr>
        <w:t>第一财经日报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highlight w:val="none"/>
        </w:rPr>
        <w:t>华尔街日报及新华网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highlight w:val="none"/>
        </w:rPr>
        <w:t>新浪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highlight w:val="none"/>
        </w:rPr>
        <w:t>搜狐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highlight w:val="none"/>
        </w:rPr>
        <w:t>人民网等国内外上千家媒体报道。</w:t>
      </w:r>
    </w:p>
    <w:p>
      <w:pPr>
        <w:spacing w:line="420" w:lineRule="exact"/>
        <w:ind w:firstLine="420" w:firstLineChars="200"/>
        <w:rPr>
          <w:rFonts w:hint="eastAsia" w:asciiTheme="minorEastAsia" w:hAnsiTheme="minorEastAsia" w:eastAsiaTheme="minorEastAsia" w:cstheme="minorEastAsia"/>
          <w:sz w:val="20"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第二十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届中国国际石油石化技术装备展览会</w:t>
      </w:r>
      <w:r>
        <w:rPr>
          <w:rFonts w:hint="eastAsia" w:asciiTheme="minorEastAsia" w:hAnsiTheme="minorEastAsia" w:eastAsiaTheme="minorEastAsia" w:cstheme="minorEastAsia"/>
          <w:highlight w:val="none"/>
        </w:rPr>
        <w:t>(cippe202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highlight w:val="none"/>
        </w:rPr>
        <w:t>)，将于202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highlight w:val="none"/>
        </w:rPr>
        <w:t>-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highlight w:val="none"/>
        </w:rPr>
        <w:t>日在北京·中国国际展览中心(新馆)举办，欢迎您届时参观参展！</w:t>
      </w:r>
    </w:p>
    <w:p>
      <w:pPr>
        <w:spacing w:line="420" w:lineRule="exact"/>
        <w:rPr>
          <w:rFonts w:ascii="Arial" w:hAnsi="宋体" w:cs="Arial"/>
          <w:szCs w:val="21"/>
          <w:highlight w:val="none"/>
          <w:shd w:val="pct10" w:color="auto" w:fill="FFFFFF"/>
        </w:rPr>
      </w:pPr>
      <w:r>
        <w:rPr>
          <w:rFonts w:hint="eastAsia" w:ascii="Arial" w:hAnsi="宋体" w:cs="Arial"/>
          <w:b/>
          <w:bCs/>
          <w:szCs w:val="21"/>
          <w:highlight w:val="none"/>
          <w:shd w:val="pct10" w:color="auto" w:fill="FFFFFF"/>
        </w:rPr>
        <w:t>同期举办</w:t>
      </w:r>
      <w:r>
        <w:rPr>
          <w:rFonts w:hint="eastAsia" w:ascii="Arial" w:hAnsi="宋体" w:cs="Arial"/>
          <w:szCs w:val="21"/>
          <w:highlight w:val="none"/>
          <w:shd w:val="pct10" w:color="auto" w:fill="FFFFFF"/>
        </w:rPr>
        <w:t>:</w:t>
      </w:r>
    </w:p>
    <w:p>
      <w:pPr>
        <w:spacing w:line="420" w:lineRule="exact"/>
        <w:ind w:firstLine="420" w:firstLineChars="200"/>
        <w:rPr>
          <w:rFonts w:ascii="Arial" w:hAnsi="Arial" w:cs="Arial"/>
          <w:szCs w:val="21"/>
          <w:highlight w:val="none"/>
        </w:rPr>
        <w:sectPr>
          <w:headerReference r:id="rId3" w:type="default"/>
          <w:footerReference r:id="rId4" w:type="default"/>
          <w:footerReference r:id="rId5" w:type="even"/>
          <w:type w:val="continuous"/>
          <w:pgSz w:w="11906" w:h="16838"/>
          <w:pgMar w:top="714" w:right="851" w:bottom="567" w:left="851" w:header="624" w:footer="737" w:gutter="0"/>
          <w:cols w:space="720" w:num="1"/>
          <w:docGrid w:type="lines" w:linePitch="312" w:charSpace="0"/>
        </w:sectPr>
      </w:pPr>
    </w:p>
    <w:p>
      <w:pPr>
        <w:spacing w:line="340" w:lineRule="atLeast"/>
        <w:ind w:firstLine="160" w:firstLineChars="100"/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  <w:t>第二十</w:t>
      </w: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  <w:t>届北京国际海洋石油天然气展览会（ciooe）</w:t>
      </w:r>
    </w:p>
    <w:p>
      <w:pPr>
        <w:spacing w:line="340" w:lineRule="atLeast"/>
        <w:ind w:firstLine="160" w:firstLineChars="100"/>
        <w:rPr>
          <w:rFonts w:hint="eastAsia" w:asciiTheme="minorEastAsia" w:hAnsiTheme="minorEastAsia" w:eastAsiaTheme="minorEastAsia" w:cstheme="minorEastAsia"/>
          <w:sz w:val="15"/>
          <w:szCs w:val="15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  <w:t>第二十</w:t>
      </w: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  <w:t>届北京国际石油天然气管道与储运技术装备展览会（CIPE）</w:t>
      </w:r>
    </w:p>
    <w:p>
      <w:pPr>
        <w:spacing w:line="340" w:lineRule="atLeast"/>
        <w:ind w:firstLine="160" w:firstLineChars="100"/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  <w:t>第二十</w:t>
      </w: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  <w:t>届北京国际防爆电气技术设备展览会（Expec）</w:t>
      </w:r>
    </w:p>
    <w:p>
      <w:pPr>
        <w:spacing w:line="340" w:lineRule="atLeast"/>
        <w:ind w:firstLine="160" w:firstLineChars="100"/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</w:pPr>
      <w:bookmarkStart w:id="0" w:name="OLE_LINK8"/>
      <w:bookmarkStart w:id="1" w:name="OLE_LINK7"/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  <w:t>第十</w:t>
      </w: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  <w:t>届北京国际天然气技术装备展览会（CING）</w:t>
      </w:r>
    </w:p>
    <w:p>
      <w:pPr>
        <w:tabs>
          <w:tab w:val="left" w:pos="4650"/>
        </w:tabs>
        <w:spacing w:line="340" w:lineRule="atLeast"/>
        <w:ind w:firstLine="160" w:firstLineChars="100"/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  <w:t>第十</w:t>
      </w: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  <w:t>届北京国际页岩气技术与装备展览会（cisge）</w:t>
      </w:r>
    </w:p>
    <w:bookmarkEnd w:id="0"/>
    <w:bookmarkEnd w:id="1"/>
    <w:p>
      <w:pPr>
        <w:spacing w:line="340" w:lineRule="atLeast"/>
        <w:ind w:firstLine="160" w:firstLineChars="100"/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</w:pPr>
      <w:bookmarkStart w:id="2" w:name="OLE_LINK3"/>
      <w:bookmarkStart w:id="3" w:name="OLE_LINK2"/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  <w:t>第十</w:t>
      </w: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  <w:t>届北京国际海洋工程技术与装备展览会（CM）</w:t>
      </w:r>
      <w:bookmarkEnd w:id="2"/>
      <w:bookmarkEnd w:id="3"/>
    </w:p>
    <w:p>
      <w:pPr>
        <w:spacing w:line="340" w:lineRule="atLeast"/>
        <w:rPr>
          <w:rFonts w:ascii="Arial" w:hAnsi="Arial" w:cs="Arial"/>
          <w:sz w:val="16"/>
          <w:szCs w:val="16"/>
          <w:highlight w:val="none"/>
        </w:rPr>
      </w:pPr>
      <w:r>
        <w:rPr>
          <w:rFonts w:hint="eastAsia" w:ascii="Arial" w:hAnsi="Arial" w:cs="Arial"/>
          <w:sz w:val="16"/>
          <w:szCs w:val="16"/>
          <w:highlight w:val="none"/>
        </w:rPr>
        <w:t>北京国际石油和化工自动化技术装备及仪器仪表展览会（cieca）</w:t>
      </w:r>
    </w:p>
    <w:p>
      <w:pPr>
        <w:spacing w:line="340" w:lineRule="atLeast"/>
        <w:rPr>
          <w:rFonts w:ascii="Arial" w:hAnsi="Arial" w:cs="Arial"/>
          <w:sz w:val="16"/>
          <w:szCs w:val="16"/>
          <w:highlight w:val="none"/>
        </w:rPr>
      </w:pPr>
      <w:r>
        <w:rPr>
          <w:rFonts w:hint="eastAsia" w:ascii="Arial" w:hAnsi="Arial" w:cs="Arial"/>
          <w:sz w:val="16"/>
          <w:szCs w:val="16"/>
          <w:highlight w:val="none"/>
        </w:rPr>
        <w:t>北京国际石油和化工安全防护技术及设备展览会（cipse）</w:t>
      </w:r>
    </w:p>
    <w:p>
      <w:pPr>
        <w:spacing w:line="340" w:lineRule="atLeast"/>
        <w:rPr>
          <w:rFonts w:ascii="Arial" w:hAnsi="Arial" w:cs="Arial"/>
          <w:sz w:val="16"/>
          <w:szCs w:val="16"/>
          <w:highlight w:val="none"/>
        </w:rPr>
      </w:pPr>
      <w:r>
        <w:rPr>
          <w:rFonts w:ascii="Arial" w:hAnsi="Arial" w:cs="Arial"/>
          <w:sz w:val="16"/>
          <w:szCs w:val="16"/>
          <w:highlight w:val="none"/>
        </w:rPr>
        <w:t>202</w:t>
      </w:r>
      <w:r>
        <w:rPr>
          <w:rFonts w:hint="eastAsia" w:ascii="Arial" w:hAnsi="Arial" w:cs="Arial"/>
          <w:sz w:val="16"/>
          <w:szCs w:val="16"/>
          <w:highlight w:val="none"/>
          <w:lang w:val="en-US" w:eastAsia="zh-CN"/>
        </w:rPr>
        <w:t>4</w:t>
      </w:r>
      <w:r>
        <w:rPr>
          <w:rFonts w:ascii="Arial" w:hAnsi="Arial" w:cs="Arial"/>
          <w:sz w:val="16"/>
          <w:szCs w:val="16"/>
          <w:highlight w:val="none"/>
        </w:rPr>
        <w:t>北京国际氢能技术装备展览会（HEIE）</w:t>
      </w:r>
    </w:p>
    <w:p>
      <w:pPr>
        <w:spacing w:line="340" w:lineRule="atLeast"/>
        <w:rPr>
          <w:rFonts w:ascii="Arial" w:hAnsi="Arial" w:cs="Arial"/>
          <w:sz w:val="16"/>
          <w:szCs w:val="16"/>
          <w:highlight w:val="none"/>
        </w:rPr>
      </w:pPr>
      <w:r>
        <w:rPr>
          <w:rFonts w:ascii="Arial" w:hAnsi="Arial" w:cs="Arial"/>
          <w:sz w:val="16"/>
          <w:szCs w:val="16"/>
          <w:highlight w:val="none"/>
        </w:rPr>
        <w:t>202</w:t>
      </w:r>
      <w:r>
        <w:rPr>
          <w:rFonts w:hint="eastAsia" w:ascii="Arial" w:hAnsi="Arial" w:cs="Arial"/>
          <w:sz w:val="16"/>
          <w:szCs w:val="16"/>
          <w:highlight w:val="none"/>
          <w:lang w:val="en-US" w:eastAsia="zh-CN"/>
        </w:rPr>
        <w:t>4</w:t>
      </w:r>
      <w:r>
        <w:rPr>
          <w:rFonts w:ascii="Arial" w:hAnsi="Arial" w:cs="Arial"/>
          <w:sz w:val="16"/>
          <w:szCs w:val="16"/>
          <w:highlight w:val="none"/>
        </w:rPr>
        <w:t>北京国际燃气应用与技术装备展览会</w:t>
      </w:r>
      <w:r>
        <w:rPr>
          <w:rFonts w:hint="eastAsia" w:ascii="Arial" w:hAnsi="Arial" w:cs="Arial"/>
          <w:sz w:val="16"/>
          <w:szCs w:val="16"/>
          <w:highlight w:val="none"/>
        </w:rPr>
        <w:t>（GAS）</w:t>
      </w:r>
    </w:p>
    <w:p>
      <w:pPr>
        <w:spacing w:line="340" w:lineRule="atLeast"/>
        <w:rPr>
          <w:rFonts w:ascii="Arial" w:hAnsi="Arial" w:cs="Arial"/>
          <w:sz w:val="16"/>
          <w:szCs w:val="16"/>
          <w:highlight w:val="none"/>
        </w:rPr>
        <w:sectPr>
          <w:type w:val="continuous"/>
          <w:pgSz w:w="11906" w:h="16838"/>
          <w:pgMar w:top="714" w:right="851" w:bottom="567" w:left="851" w:header="794" w:footer="794" w:gutter="0"/>
          <w:cols w:equalWidth="0" w:num="2">
            <w:col w:w="4889" w:space="425"/>
            <w:col w:w="4889"/>
          </w:cols>
          <w:docGrid w:type="lines" w:linePitch="312" w:charSpace="0"/>
        </w:sectPr>
      </w:pPr>
      <w:r>
        <w:rPr>
          <w:rFonts w:ascii="Arial" w:hAnsi="Arial" w:cs="Arial"/>
          <w:sz w:val="16"/>
          <w:szCs w:val="16"/>
          <w:highlight w:val="none"/>
        </w:rPr>
        <w:t>202</w:t>
      </w:r>
      <w:r>
        <w:rPr>
          <w:rFonts w:hint="eastAsia" w:ascii="Arial" w:hAnsi="Arial" w:cs="Arial"/>
          <w:sz w:val="16"/>
          <w:szCs w:val="16"/>
          <w:highlight w:val="none"/>
          <w:lang w:val="en-US" w:eastAsia="zh-CN"/>
        </w:rPr>
        <w:t>4</w:t>
      </w:r>
      <w:r>
        <w:rPr>
          <w:rFonts w:ascii="Arial" w:hAnsi="Arial" w:cs="Arial"/>
          <w:sz w:val="16"/>
          <w:szCs w:val="16"/>
          <w:highlight w:val="none"/>
        </w:rPr>
        <w:t>北京国际</w:t>
      </w:r>
      <w:r>
        <w:rPr>
          <w:rFonts w:hint="eastAsia" w:ascii="Arial" w:hAnsi="Arial" w:cs="Arial"/>
          <w:sz w:val="16"/>
          <w:szCs w:val="16"/>
          <w:highlight w:val="none"/>
          <w:lang w:val="en-US" w:eastAsia="zh-CN"/>
        </w:rPr>
        <w:t>地下工程建设及</w:t>
      </w:r>
      <w:r>
        <w:rPr>
          <w:rFonts w:ascii="Arial" w:hAnsi="Arial" w:cs="Arial"/>
          <w:sz w:val="16"/>
          <w:szCs w:val="16"/>
          <w:highlight w:val="none"/>
        </w:rPr>
        <w:t>非开挖技术装备展览会</w:t>
      </w:r>
      <w:r>
        <w:rPr>
          <w:rFonts w:hint="eastAsia" w:ascii="Arial" w:hAnsi="Arial" w:cs="Arial"/>
          <w:sz w:val="16"/>
          <w:szCs w:val="16"/>
          <w:highlight w:val="none"/>
        </w:rPr>
        <w:t>（CITTE）</w:t>
      </w:r>
    </w:p>
    <w:p>
      <w:pPr>
        <w:spacing w:line="420" w:lineRule="exact"/>
        <w:ind w:right="372" w:rightChars="177"/>
        <w:rPr>
          <w:rFonts w:ascii="Arial" w:hAnsi="宋体" w:cs="Arial"/>
          <w:b/>
          <w:bCs/>
          <w:sz w:val="16"/>
          <w:szCs w:val="16"/>
          <w:highlight w:val="none"/>
          <w:shd w:val="pct10" w:color="auto" w:fill="FFFFFF"/>
        </w:rPr>
        <w:sectPr>
          <w:headerReference r:id="rId6" w:type="default"/>
          <w:footerReference r:id="rId7" w:type="default"/>
          <w:type w:val="continuous"/>
          <w:pgSz w:w="11906" w:h="16838"/>
          <w:pgMar w:top="714" w:right="851" w:bottom="567" w:left="851" w:header="794" w:footer="794" w:gutter="0"/>
          <w:cols w:equalWidth="0" w:num="2">
            <w:col w:w="4889" w:space="425"/>
            <w:col w:w="4889"/>
          </w:cols>
          <w:docGrid w:type="lines" w:linePitch="312" w:charSpace="0"/>
        </w:sectPr>
      </w:pPr>
    </w:p>
    <w:p>
      <w:pPr>
        <w:spacing w:line="420" w:lineRule="exact"/>
        <w:rPr>
          <w:rFonts w:ascii="Arial" w:hAnsi="宋体" w:cs="Arial"/>
          <w:b/>
          <w:bCs/>
          <w:szCs w:val="21"/>
          <w:highlight w:val="none"/>
          <w:shd w:val="pct10" w:color="auto" w:fill="FFFFFF"/>
        </w:rPr>
      </w:pPr>
      <w:r>
        <w:rPr>
          <w:rFonts w:ascii="Arial" w:hAnsi="宋体" w:cs="Arial"/>
          <w:b/>
          <w:bCs/>
          <w:szCs w:val="21"/>
          <w:highlight w:val="none"/>
          <w:shd w:val="pct10" w:color="auto" w:fill="FFFFFF"/>
        </w:rPr>
        <w:t>如果您是下列产品的供应商，请即预定展位</w:t>
      </w:r>
    </w:p>
    <w:tbl>
      <w:tblPr>
        <w:tblStyle w:val="15"/>
        <w:tblW w:w="1049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90" w:type="dxa"/>
          </w:tcPr>
          <w:p>
            <w:pPr>
              <w:spacing w:line="280" w:lineRule="exact"/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油气勘探开发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技术与装备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物探、测井、钻井技术与设备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完井技术与装备</w:t>
            </w:r>
          </w:p>
          <w:p>
            <w:pPr>
              <w:spacing w:line="280" w:lineRule="exact"/>
              <w:rPr>
                <w:rFonts w:ascii="Arial" w:hAnsi="宋体" w:cs="Arial"/>
                <w:b/>
                <w:bCs/>
                <w:color w:val="000000" w:themeColor="text1"/>
                <w:sz w:val="18"/>
                <w:szCs w:val="18"/>
                <w:highlight w:val="none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海洋工程技术与装备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天然气技术与装备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自动化技术装备、仪器仪表</w:t>
            </w:r>
          </w:p>
          <w:p>
            <w:pPr>
              <w:spacing w:line="280" w:lineRule="exact"/>
              <w:rPr>
                <w:rFonts w:ascii="Arial" w:hAnsi="宋体" w:cs="Arial"/>
                <w:b/>
                <w:bCs/>
                <w:color w:val="000000" w:themeColor="text1"/>
                <w:sz w:val="18"/>
                <w:szCs w:val="18"/>
                <w:highlight w:val="none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油气田地面工程技术及装备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石油石化设备与制造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工业防爆产品</w:t>
            </w:r>
          </w:p>
          <w:p>
            <w:pPr>
              <w:spacing w:line="280" w:lineRule="exact"/>
              <w:rPr>
                <w:rFonts w:ascii="Arial" w:hAnsi="宋体" w:cs="Arial"/>
                <w:b/>
                <w:bCs/>
                <w:color w:val="000000" w:themeColor="text1"/>
                <w:sz w:val="18"/>
                <w:szCs w:val="18"/>
                <w:highlight w:val="none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油气管道建设工程技术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管道非开挖技术与装备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发电机组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动力设备</w:t>
            </w:r>
          </w:p>
          <w:p>
            <w:pPr>
              <w:spacing w:line="280" w:lineRule="exact"/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油气储运技术与设备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油田特种车辆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电工电气设备、电线电缆产品</w:t>
            </w:r>
          </w:p>
          <w:p>
            <w:pPr>
              <w:spacing w:line="280" w:lineRule="exact"/>
              <w:rPr>
                <w:rFonts w:ascii="Arial" w:hAnsi="宋体" w:cs="Arial"/>
                <w:b/>
                <w:bCs/>
                <w:color w:val="000000" w:themeColor="text1"/>
                <w:sz w:val="18"/>
                <w:szCs w:val="18"/>
                <w:highlight w:val="none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石油炼制工艺与技术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石化工艺与技术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设备检修、维护与管理</w:t>
            </w:r>
          </w:p>
          <w:p>
            <w:pPr>
              <w:spacing w:line="280" w:lineRule="exact"/>
              <w:rPr>
                <w:rFonts w:ascii="Arial" w:hAnsi="宋体" w:cs="Arial"/>
                <w:b/>
                <w:bCs/>
                <w:color w:val="000000" w:themeColor="text1"/>
                <w:sz w:val="18"/>
                <w:szCs w:val="18"/>
                <w:highlight w:val="none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流体机械设备与技术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压力容器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燃油与润滑油技术与设备</w:t>
            </w:r>
          </w:p>
          <w:p>
            <w:pPr>
              <w:spacing w:line="280" w:lineRule="exact"/>
              <w:rPr>
                <w:rFonts w:ascii="Arial" w:hAnsi="宋体" w:cs="Arial"/>
                <w:b/>
                <w:bCs/>
                <w:color w:val="000000" w:themeColor="text1"/>
                <w:sz w:val="18"/>
                <w:szCs w:val="18"/>
                <w:highlight w:val="none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石化产品和先进材料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加油加气站设备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环保、节能技术设备</w:t>
            </w:r>
          </w:p>
          <w:p>
            <w:pPr>
              <w:spacing w:line="280" w:lineRule="exact"/>
              <w:rPr>
                <w:rFonts w:ascii="Arial" w:hAnsi="宋体" w:cs="Arial"/>
                <w:b/>
                <w:bCs/>
                <w:color w:val="000000" w:themeColor="text1"/>
                <w:sz w:val="18"/>
                <w:szCs w:val="18"/>
                <w:highlight w:val="none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消防、预警技术设备与安全防护产品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工业清洗及防腐技术材料与设备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包装、密封、垫圈、紧固件、轴承</w:t>
            </w:r>
          </w:p>
          <w:p>
            <w:pPr>
              <w:spacing w:line="280" w:lineRule="exact"/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油气数字化解决方案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通信与信息技术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其他配件</w:t>
            </w:r>
          </w:p>
          <w:p>
            <w:pPr>
              <w:spacing w:line="280" w:lineRule="exact"/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氢能技术与装备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认证、咨询服务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石油石化科研及实验室技术设备</w:t>
            </w:r>
          </w:p>
        </w:tc>
      </w:tr>
    </w:tbl>
    <w:p>
      <w:pPr>
        <w:pStyle w:val="8"/>
        <w:spacing w:line="420" w:lineRule="exact"/>
        <w:rPr>
          <w:rFonts w:ascii="Arial" w:hAnsi="宋体" w:eastAsia="宋体" w:cs="Arial"/>
          <w:b/>
          <w:bCs/>
          <w:sz w:val="21"/>
          <w:szCs w:val="21"/>
          <w:highlight w:val="none"/>
          <w:shd w:val="pct10" w:color="auto" w:fill="FFFFFF"/>
        </w:rPr>
      </w:pPr>
      <w:r>
        <w:rPr>
          <w:rFonts w:ascii="Arial" w:hAnsi="宋体" w:eastAsia="宋体" w:cs="Arial"/>
          <w:b/>
          <w:bCs/>
          <w:sz w:val="21"/>
          <w:szCs w:val="21"/>
          <w:highlight w:val="none"/>
          <w:shd w:val="pct10" w:color="auto" w:fill="FFFFFF"/>
        </w:rPr>
        <w:t>参展细则</w:t>
      </w:r>
      <w:r>
        <w:rPr>
          <w:rFonts w:hint="eastAsia" w:ascii="Arial" w:hAnsi="宋体" w:eastAsia="宋体" w:cs="Arial"/>
          <w:b/>
          <w:bCs/>
          <w:sz w:val="21"/>
          <w:szCs w:val="21"/>
          <w:highlight w:val="none"/>
          <w:shd w:val="pct10" w:color="auto" w:fill="FFFFFF"/>
        </w:rPr>
        <w:t>（以下所有报价均未含增值税）</w:t>
      </w:r>
    </w:p>
    <w:tbl>
      <w:tblPr>
        <w:tblStyle w:val="14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4800"/>
        <w:gridCol w:w="4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21"/>
                <w:highlight w:val="none"/>
              </w:rPr>
              <w:t>项目</w:t>
            </w:r>
          </w:p>
        </w:tc>
        <w:tc>
          <w:tcPr>
            <w:tcW w:w="4800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21"/>
                <w:highlight w:val="none"/>
              </w:rPr>
              <w:t>价格/面积</w:t>
            </w:r>
          </w:p>
        </w:tc>
        <w:tc>
          <w:tcPr>
            <w:tcW w:w="4189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21"/>
                <w:highlight w:val="none"/>
              </w:rPr>
              <w:t>基本配备/规格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标准展台</w:t>
            </w:r>
          </w:p>
        </w:tc>
        <w:tc>
          <w:tcPr>
            <w:tcW w:w="48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国际展区：30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000元/标准展位（9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/个）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W1、W2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  <w:t>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国内展区：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45,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000元/标准展位（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18㎡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/个）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E1、E2、E3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  <w:t>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 xml:space="preserve">          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9,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000元/标准展位（9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/个）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  <w:t>（</w:t>
            </w:r>
            <w:bookmarkStart w:id="4" w:name="OLE_LINK5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E4</w:t>
            </w:r>
            <w:bookmarkEnd w:id="4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、W3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  <w:t>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 xml:space="preserve">          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6,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000元/标准展位（9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/个）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W4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418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◆地毯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◆三面围板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◆公司名称楣板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◆咨询桌一张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◆椅子两把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◆射灯两盏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◆电源插座一个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◆（特殊用电请事先说明，另行收费）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空场地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（36平米起租）</w:t>
            </w:r>
          </w:p>
        </w:tc>
        <w:tc>
          <w:tcPr>
            <w:tcW w:w="48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国际展区：3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200元/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㎡(W1/W2)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国内展区：1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,9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00元/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E1、E2、E3、E4、W3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  <w:t>）</w:t>
            </w:r>
          </w:p>
          <w:p>
            <w:pPr>
              <w:ind w:firstLine="900" w:firstLineChars="5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1,600元/㎡（W4）</w:t>
            </w:r>
          </w:p>
        </w:tc>
        <w:tc>
          <w:tcPr>
            <w:tcW w:w="418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空场地不带任何展架及设施，参展商须选择组委会指定搭建商进行搭建，除指定搭建商外不允许任何搭建公司进入展馆。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会务费</w:t>
            </w:r>
          </w:p>
        </w:tc>
        <w:tc>
          <w:tcPr>
            <w:tcW w:w="48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200元/人</w:t>
            </w:r>
          </w:p>
        </w:tc>
        <w:tc>
          <w:tcPr>
            <w:tcW w:w="418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含展会资料、午餐、水、答谢晚宴、礼品等。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会刊广告</w:t>
            </w:r>
          </w:p>
        </w:tc>
        <w:tc>
          <w:tcPr>
            <w:tcW w:w="48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sym w:font="Wingdings" w:char="F0A8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 xml:space="preserve"> 封   面： ￥36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000元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sym w:font="Wingdings" w:char="F0A8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 xml:space="preserve"> 封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 xml:space="preserve"> 二： ￥25,000元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sym w:font="Wingdings" w:char="F0A8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 xml:space="preserve"> 扉   页： ￥25,000元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 xml:space="preserve"> 封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 xml:space="preserve">  底： ￥30,000元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sym w:font="Wingdings" w:char="F0A8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 xml:space="preserve"> 封   三：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 xml:space="preserve">￥22,000元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sym w:font="Wingdings" w:char="F0A8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 xml:space="preserve"> 彩色内页：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￥12,000元</w:t>
            </w:r>
          </w:p>
        </w:tc>
        <w:tc>
          <w:tcPr>
            <w:tcW w:w="418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会刊尺寸：130mm宽×210mm高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431" w:type="dxa"/>
            <w:vMerge w:val="restart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技术讲座</w:t>
            </w:r>
          </w:p>
        </w:tc>
        <w:tc>
          <w:tcPr>
            <w:tcW w:w="48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技术讲座（会议室）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12,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000元/场</w:t>
            </w:r>
          </w:p>
        </w:tc>
        <w:tc>
          <w:tcPr>
            <w:tcW w:w="418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含场地、音响设备、投影仪、现场指示牌、水等。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43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48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新产品新技术推介会（展馆内）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32,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000元/30分钟</w:t>
            </w:r>
          </w:p>
        </w:tc>
        <w:tc>
          <w:tcPr>
            <w:tcW w:w="418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含场地、音响设备、媒体宣传。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43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4800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采购对接会15,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000元/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场</w:t>
            </w:r>
          </w:p>
        </w:tc>
        <w:tc>
          <w:tcPr>
            <w:tcW w:w="4189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含场地、证件、桌签、采购信息资料、水等。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独家赞助</w:t>
            </w:r>
          </w:p>
        </w:tc>
        <w:tc>
          <w:tcPr>
            <w:tcW w:w="48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a. 晚宴赞助（独家360,000元）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b. 礼品赞助（300,000元）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c. 参观指南赞助（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封面180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000元；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封底96,000元）</w:t>
            </w:r>
          </w:p>
        </w:tc>
        <w:tc>
          <w:tcPr>
            <w:tcW w:w="418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详情请查阅市场宣传机会手册。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31" w:type="dxa"/>
            <w:vMerge w:val="restart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媒体宣传</w:t>
            </w:r>
          </w:p>
        </w:tc>
        <w:tc>
          <w:tcPr>
            <w:tcW w:w="48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展前宣传2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000元/次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展后宣传2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000元/次</w:t>
            </w:r>
          </w:p>
        </w:tc>
        <w:tc>
          <w:tcPr>
            <w:tcW w:w="418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微信公众号文章1篇、cippe官网、全球石油化工网等展会自媒体宣传。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3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48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展中宣传7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000元/次</w:t>
            </w:r>
          </w:p>
        </w:tc>
        <w:tc>
          <w:tcPr>
            <w:tcW w:w="418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4家视频媒体采访、15家行业媒体及门户网站宣传。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3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摄影摄像服务</w:t>
            </w:r>
          </w:p>
        </w:tc>
        <w:tc>
          <w:tcPr>
            <w:tcW w:w="48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摄影、摄像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6 ,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000元/天</w:t>
            </w:r>
          </w:p>
        </w:tc>
        <w:tc>
          <w:tcPr>
            <w:tcW w:w="418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展会现场照片拍摄；摄像服务；30秒短视频剪辑1条。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restart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展会直播</w:t>
            </w:r>
          </w:p>
        </w:tc>
        <w:tc>
          <w:tcPr>
            <w:tcW w:w="48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探馆直播（5-20分钟）2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000元/场</w:t>
            </w:r>
          </w:p>
        </w:tc>
        <w:tc>
          <w:tcPr>
            <w:tcW w:w="418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主持人探馆直播，由企业展台负责人介绍企业展示的产品及技术；直播平台使用费；宣传推广费。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48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专场直播：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000元/天</w:t>
            </w:r>
          </w:p>
        </w:tc>
        <w:tc>
          <w:tcPr>
            <w:tcW w:w="418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包含直播设备、技术人员。根据企业需求，定制专场直播。</w:t>
            </w:r>
          </w:p>
        </w:tc>
      </w:tr>
    </w:tbl>
    <w:p>
      <w:pPr>
        <w:rPr>
          <w:rFonts w:asciiTheme="minorEastAsia" w:hAnsiTheme="minorEastAsia" w:eastAsiaTheme="minorEastAsia"/>
          <w:b/>
          <w:sz w:val="18"/>
          <w:highlight w:val="none"/>
        </w:rPr>
      </w:pPr>
      <w:r>
        <w:rPr>
          <w:rFonts w:hint="eastAsia" w:asciiTheme="minorEastAsia" w:hAnsiTheme="minorEastAsia" w:eastAsiaTheme="minorEastAsia"/>
          <w:b/>
          <w:sz w:val="18"/>
          <w:highlight w:val="none"/>
        </w:rPr>
        <w:t>为配合企业的市场战略，我们将提供更多赞助方案选择，赞助详情请来电咨询。</w:t>
      </w:r>
    </w:p>
    <w:p>
      <w:pPr>
        <w:rPr>
          <w:rFonts w:cs="Arial" w:asciiTheme="minorEastAsia" w:hAnsiTheme="minorEastAsia" w:eastAsiaTheme="minorEastAsia"/>
          <w:szCs w:val="21"/>
          <w:highlight w:val="none"/>
        </w:rPr>
      </w:pPr>
      <w:r>
        <w:rPr>
          <w:rFonts w:hint="eastAsia" w:cs="Arial" w:asciiTheme="minorEastAsia" w:hAnsiTheme="minorEastAsia" w:eastAsiaTheme="minorEastAsia"/>
          <w:szCs w:val="21"/>
          <w:highlight w:val="none"/>
        </w:rPr>
        <w:t>《参展商手册》将于202</w:t>
      </w:r>
      <w:r>
        <w:rPr>
          <w:rFonts w:hint="eastAsia" w:cs="Arial" w:asciiTheme="minorEastAsia" w:hAnsiTheme="minorEastAsia" w:eastAsiaTheme="minorEastAsia"/>
          <w:szCs w:val="21"/>
          <w:highlight w:val="none"/>
          <w:lang w:val="en-US" w:eastAsia="zh-CN"/>
        </w:rPr>
        <w:t>4</w:t>
      </w:r>
      <w:r>
        <w:rPr>
          <w:rFonts w:hint="eastAsia" w:cs="Arial" w:asciiTheme="minorEastAsia" w:hAnsiTheme="minorEastAsia" w:eastAsiaTheme="minorEastAsia"/>
          <w:szCs w:val="21"/>
          <w:highlight w:val="none"/>
        </w:rPr>
        <w:t>年</w:t>
      </w:r>
      <w:r>
        <w:rPr>
          <w:rFonts w:hint="eastAsia" w:cs="Arial" w:asciiTheme="minorEastAsia" w:hAnsiTheme="minorEastAsia" w:eastAsiaTheme="minorEastAsia"/>
          <w:szCs w:val="21"/>
          <w:highlight w:val="none"/>
          <w:lang w:val="en-US" w:eastAsia="zh-CN"/>
        </w:rPr>
        <w:t>1</w:t>
      </w:r>
      <w:r>
        <w:rPr>
          <w:rFonts w:hint="eastAsia" w:cs="Arial" w:asciiTheme="minorEastAsia" w:hAnsiTheme="minorEastAsia" w:eastAsiaTheme="minorEastAsia"/>
          <w:szCs w:val="21"/>
          <w:highlight w:val="none"/>
        </w:rPr>
        <w:t>月份上传到展会官网，请参展商自行下载。</w:t>
      </w:r>
    </w:p>
    <w:p>
      <w:pPr>
        <w:keepNext w:val="0"/>
        <w:keepLines w:val="0"/>
        <w:pageBreakBefore w:val="0"/>
        <w:widowControl w:val="0"/>
        <w:tabs>
          <w:tab w:val="left" w:pos="9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1890" w:firstLineChars="900"/>
        <w:textAlignment w:val="auto"/>
        <w:rPr>
          <w:rFonts w:cs="Arial" w:asciiTheme="minorEastAsia" w:hAnsiTheme="minorEastAsia" w:eastAsiaTheme="minorEastAsia"/>
          <w:sz w:val="24"/>
          <w:highlight w:val="none"/>
        </w:rPr>
      </w:pPr>
      <w:r>
        <w:rPr>
          <w:rFonts w:cs="宋体" w:asciiTheme="minorEastAsia" w:hAnsiTheme="minorEastAsia" w:eastAsiaTheme="minorEastAsia"/>
          <w:kern w:val="0"/>
          <w:szCs w:val="21"/>
          <w:highlight w:val="non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146685</wp:posOffset>
            </wp:positionV>
            <wp:extent cx="1015365" cy="670560"/>
            <wp:effectExtent l="0" t="0" r="635" b="2540"/>
            <wp:wrapNone/>
            <wp:docPr id="10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 w:asciiTheme="minorEastAsia" w:hAnsiTheme="minorEastAsia" w:eastAsiaTheme="minorEastAsia"/>
          <w:b/>
          <w:bCs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104140</wp:posOffset>
                </wp:positionV>
                <wp:extent cx="635" cy="888365"/>
                <wp:effectExtent l="4445" t="0" r="7620" b="635"/>
                <wp:wrapNone/>
                <wp:docPr id="6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8883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flip:x;margin-left:82.1pt;margin-top:8.2pt;height:69.95pt;width:0.05pt;z-index:251662336;mso-width-relative:page;mso-height-relative:page;" filled="f" stroked="t" coordsize="21600,21600" o:gfxdata="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9ezMB9YAAAAKAQAADwAAAAAA&#10;AAABACAAAAAiAAAAZHJzL2Rvd25yZXYueG1sUEsBAhQAFAAAAAgAh07iQF9A5VbcAQAA2AMAAA4A&#10;AAAAAAAAAQAgAAAAJ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Arial" w:asciiTheme="minorEastAsia" w:hAnsiTheme="minorEastAsia" w:eastAsiaTheme="minorEastAsia"/>
          <w:b/>
          <w:bCs/>
          <w:szCs w:val="21"/>
          <w:highlight w:val="none"/>
        </w:rPr>
        <w:t>组织</w:t>
      </w:r>
      <w:r>
        <w:rPr>
          <w:rFonts w:cs="Arial" w:asciiTheme="minorEastAsia" w:hAnsiTheme="minorEastAsia" w:eastAsiaTheme="minorEastAsia"/>
          <w:b/>
          <w:bCs/>
          <w:szCs w:val="21"/>
          <w:highlight w:val="none"/>
        </w:rPr>
        <w:t>单位：振威国际会展集团</w:t>
      </w:r>
      <w:r>
        <w:rPr>
          <w:rFonts w:hint="eastAsia" w:cs="Arial" w:asciiTheme="minorEastAsia" w:hAnsiTheme="minorEastAsia" w:eastAsiaTheme="minorEastAsia"/>
          <w:b/>
          <w:bCs/>
          <w:szCs w:val="21"/>
          <w:highlight w:val="none"/>
        </w:rPr>
        <w:t xml:space="preserve">  </w:t>
      </w:r>
      <w:r>
        <w:rPr>
          <w:rFonts w:cs="Arial" w:asciiTheme="minorEastAsia" w:hAnsiTheme="minorEastAsia" w:eastAsiaTheme="minorEastAsia"/>
          <w:b/>
          <w:bCs/>
          <w:szCs w:val="21"/>
          <w:highlight w:val="none"/>
        </w:rPr>
        <w:t>北京振威展览有限公司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1890" w:firstLineChars="900"/>
        <w:textAlignment w:val="auto"/>
        <w:rPr>
          <w:rFonts w:asciiTheme="minorEastAsia" w:hAnsiTheme="minorEastAsia" w:eastAsiaTheme="minorEastAsia"/>
          <w:b/>
          <w:szCs w:val="21"/>
          <w:highlight w:val="none"/>
        </w:rPr>
      </w:pPr>
      <w:r>
        <w:rPr>
          <w:rFonts w:cs="Arial" w:asciiTheme="minorEastAsia" w:hAnsiTheme="minorEastAsia" w:eastAsiaTheme="minorEastAsia"/>
          <w:szCs w:val="21"/>
          <w:highlight w:val="none"/>
        </w:rPr>
        <w:t>地  址：</w:t>
      </w:r>
      <w:r>
        <w:rPr>
          <w:rFonts w:hint="eastAsia" w:asciiTheme="minorEastAsia" w:hAnsiTheme="minorEastAsia" w:eastAsiaTheme="minorEastAsia"/>
          <w:szCs w:val="21"/>
          <w:highlight w:val="none"/>
        </w:rPr>
        <w:t>北京市通州区经海五路1号院国际企业大道III13号楼振威展览大厦</w:t>
      </w:r>
      <w:r>
        <w:rPr>
          <w:rFonts w:cs="Arial" w:asciiTheme="minorEastAsia" w:hAnsiTheme="minorEastAsia" w:eastAsiaTheme="minorEastAsia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9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1890" w:firstLineChars="900"/>
        <w:textAlignment w:val="auto"/>
        <w:rPr>
          <w:rFonts w:cs="Arial" w:asciiTheme="minorEastAsia" w:hAnsiTheme="minorEastAsia" w:eastAsiaTheme="minorEastAsia"/>
          <w:szCs w:val="21"/>
          <w:highlight w:val="none"/>
        </w:rPr>
      </w:pPr>
      <w:r>
        <w:rPr>
          <w:rFonts w:cs="Arial" w:asciiTheme="minorEastAsia" w:hAnsiTheme="minorEastAsia" w:eastAsiaTheme="minorEastAsia"/>
          <w:szCs w:val="21"/>
          <w:highlight w:val="none"/>
        </w:rPr>
        <w:t>邮</w:t>
      </w:r>
      <w:r>
        <w:rPr>
          <w:rFonts w:hint="eastAsia" w:cs="Arial" w:asciiTheme="minorEastAsia" w:hAnsiTheme="minorEastAsia" w:eastAsiaTheme="minorEastAsia"/>
          <w:szCs w:val="21"/>
          <w:highlight w:val="none"/>
        </w:rPr>
        <w:t xml:space="preserve">  </w:t>
      </w:r>
      <w:r>
        <w:rPr>
          <w:rFonts w:cs="Arial" w:asciiTheme="minorEastAsia" w:hAnsiTheme="minorEastAsia" w:eastAsiaTheme="minorEastAsia"/>
          <w:szCs w:val="21"/>
          <w:highlight w:val="none"/>
        </w:rPr>
        <w:t>编：10</w:t>
      </w:r>
      <w:r>
        <w:rPr>
          <w:rFonts w:hint="eastAsia" w:cs="Arial" w:asciiTheme="minorEastAsia" w:hAnsiTheme="minorEastAsia" w:eastAsiaTheme="minorEastAsia"/>
          <w:szCs w:val="21"/>
          <w:highlight w:val="none"/>
        </w:rPr>
        <w:t xml:space="preserve">1111    </w:t>
      </w:r>
      <w:r>
        <w:rPr>
          <w:rFonts w:cs="Arial" w:asciiTheme="minorEastAsia" w:hAnsiTheme="minorEastAsia" w:eastAsiaTheme="minorEastAsia"/>
          <w:szCs w:val="21"/>
          <w:highlight w:val="none"/>
        </w:rPr>
        <w:t>电</w:t>
      </w:r>
      <w:r>
        <w:rPr>
          <w:rFonts w:hint="eastAsia" w:cs="Arial" w:asciiTheme="minorEastAsia" w:hAnsiTheme="minorEastAsia" w:eastAsiaTheme="minorEastAsia"/>
          <w:szCs w:val="21"/>
          <w:highlight w:val="none"/>
        </w:rPr>
        <w:t xml:space="preserve">  </w:t>
      </w:r>
      <w:r>
        <w:rPr>
          <w:rFonts w:cs="Arial" w:asciiTheme="minorEastAsia" w:hAnsiTheme="minorEastAsia" w:eastAsiaTheme="minorEastAsia"/>
          <w:szCs w:val="21"/>
          <w:highlight w:val="none"/>
        </w:rPr>
        <w:t>话：</w:t>
      </w:r>
      <w:r>
        <w:rPr>
          <w:rFonts w:hint="eastAsia" w:cs="Arial" w:asciiTheme="minorEastAsia" w:hAnsiTheme="minorEastAsia" w:eastAsiaTheme="minorEastAsia"/>
          <w:szCs w:val="21"/>
          <w:highlight w:val="none"/>
          <w:lang w:val="en-US" w:eastAsia="zh-CN"/>
        </w:rPr>
        <w:t>86-15645150730</w:t>
      </w:r>
      <w:r>
        <w:rPr>
          <w:rFonts w:hint="eastAsia" w:cs="Arial" w:asciiTheme="minorEastAsia" w:hAnsiTheme="minorEastAsia" w:eastAsiaTheme="minorEastAsia"/>
          <w:szCs w:val="21"/>
          <w:highlight w:val="none"/>
        </w:rPr>
        <w:t xml:space="preserve">   </w:t>
      </w:r>
      <w:r>
        <w:rPr>
          <w:rFonts w:cs="Arial" w:asciiTheme="minorEastAsia" w:hAnsiTheme="minorEastAsia" w:eastAsiaTheme="minorEastAsia"/>
          <w:szCs w:val="21"/>
          <w:highlight w:val="none"/>
        </w:rPr>
        <w:t>传</w:t>
      </w:r>
      <w:r>
        <w:rPr>
          <w:rFonts w:hint="eastAsia" w:cs="Arial" w:asciiTheme="minorEastAsia" w:hAnsiTheme="minorEastAsia" w:eastAsiaTheme="minorEastAsia"/>
          <w:szCs w:val="21"/>
          <w:highlight w:val="none"/>
        </w:rPr>
        <w:t xml:space="preserve">  </w:t>
      </w:r>
      <w:r>
        <w:rPr>
          <w:rFonts w:cs="Arial" w:asciiTheme="minorEastAsia" w:hAnsiTheme="minorEastAsia" w:eastAsiaTheme="minorEastAsia"/>
          <w:szCs w:val="21"/>
          <w:highlight w:val="none"/>
        </w:rPr>
        <w:t>真：010-</w:t>
      </w:r>
      <w:bookmarkStart w:id="5" w:name="_Hlt71948675"/>
      <w:r>
        <w:rPr>
          <w:rFonts w:hint="eastAsia" w:cs="Arial" w:asciiTheme="minorEastAsia" w:hAnsiTheme="minorEastAsia" w:eastAsiaTheme="minorEastAsia"/>
          <w:szCs w:val="21"/>
          <w:highlight w:val="none"/>
        </w:rPr>
        <w:t>5617</w:t>
      </w:r>
      <w:r>
        <w:rPr>
          <w:rFonts w:hint="eastAsia" w:cs="Arial" w:asciiTheme="minorEastAsia" w:hAnsiTheme="minorEastAsia" w:eastAsiaTheme="minorEastAsia"/>
          <w:szCs w:val="21"/>
          <w:highlight w:val="none"/>
          <w:lang w:val="en-US" w:eastAsia="zh-CN"/>
        </w:rPr>
        <w:t xml:space="preserve"> </w:t>
      </w:r>
      <w:r>
        <w:rPr>
          <w:rFonts w:hint="eastAsia" w:cs="Arial" w:asciiTheme="minorEastAsia" w:hAnsiTheme="minorEastAsia" w:eastAsiaTheme="minorEastAsia"/>
          <w:szCs w:val="21"/>
          <w:highlight w:val="none"/>
        </w:rPr>
        <w:t xml:space="preserve">6998     </w:t>
      </w:r>
    </w:p>
    <w:p>
      <w:pPr>
        <w:keepNext w:val="0"/>
        <w:keepLines w:val="0"/>
        <w:pageBreakBefore w:val="0"/>
        <w:widowControl w:val="0"/>
        <w:tabs>
          <w:tab w:val="left" w:pos="2058"/>
          <w:tab w:val="left" w:pos="9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1890" w:firstLineChars="900"/>
        <w:textAlignment w:val="auto"/>
        <w:rPr>
          <w:rFonts w:hint="default" w:cs="Arial" w:asciiTheme="minorEastAsia" w:hAnsiTheme="minorEastAsia" w:eastAsiaTheme="minorEastAsia"/>
          <w:szCs w:val="21"/>
          <w:highlight w:val="none"/>
          <w:lang w:val="en-US" w:eastAsia="zh-CN"/>
        </w:rPr>
      </w:pPr>
      <w:r>
        <w:rPr>
          <w:rFonts w:hint="eastAsia" w:cs="Arial" w:asciiTheme="minorEastAsia" w:hAnsiTheme="minorEastAsia" w:eastAsiaTheme="minorEastAsia"/>
          <w:szCs w:val="21"/>
          <w:highlight w:val="none"/>
        </w:rPr>
        <w:t>网  址：</w:t>
      </w:r>
      <w:bookmarkEnd w:id="5"/>
      <w:r>
        <w:rPr>
          <w:rStyle w:val="20"/>
          <w:rFonts w:cs="Arial" w:asciiTheme="minorEastAsia" w:hAnsiTheme="minorEastAsia" w:eastAsiaTheme="minorEastAsia"/>
          <w:szCs w:val="21"/>
          <w:highlight w:val="none"/>
        </w:rPr>
        <w:fldChar w:fldCharType="begin"/>
      </w:r>
      <w:r>
        <w:rPr>
          <w:rStyle w:val="20"/>
          <w:rFonts w:cs="Arial" w:asciiTheme="minorEastAsia" w:hAnsiTheme="minorEastAsia" w:eastAsiaTheme="minorEastAsia"/>
          <w:szCs w:val="21"/>
          <w:highlight w:val="none"/>
        </w:rPr>
        <w:instrText xml:space="preserve"> HYPERLINK "http://www.cippe.com.cn" </w:instrText>
      </w:r>
      <w:r>
        <w:rPr>
          <w:rStyle w:val="20"/>
          <w:rFonts w:cs="Arial" w:asciiTheme="minorEastAsia" w:hAnsiTheme="minorEastAsia" w:eastAsiaTheme="minorEastAsia"/>
          <w:szCs w:val="21"/>
          <w:highlight w:val="none"/>
        </w:rPr>
        <w:fldChar w:fldCharType="separate"/>
      </w:r>
      <w:r>
        <w:rPr>
          <w:rStyle w:val="19"/>
          <w:rFonts w:cs="Arial" w:asciiTheme="minorEastAsia" w:hAnsiTheme="minorEastAsia" w:eastAsiaTheme="minorEastAsia"/>
          <w:szCs w:val="21"/>
          <w:highlight w:val="none"/>
        </w:rPr>
        <w:t>w</w:t>
      </w:r>
      <w:bookmarkStart w:id="6" w:name="_Hlt47004875"/>
      <w:bookmarkStart w:id="7" w:name="_Hlt47004876"/>
      <w:r>
        <w:rPr>
          <w:rStyle w:val="19"/>
          <w:rFonts w:cs="Arial" w:asciiTheme="minorEastAsia" w:hAnsiTheme="minorEastAsia" w:eastAsiaTheme="minorEastAsia"/>
          <w:szCs w:val="21"/>
          <w:highlight w:val="none"/>
        </w:rPr>
        <w:t>w</w:t>
      </w:r>
      <w:bookmarkEnd w:id="6"/>
      <w:bookmarkEnd w:id="7"/>
      <w:r>
        <w:rPr>
          <w:rStyle w:val="19"/>
          <w:rFonts w:cs="Arial" w:asciiTheme="minorEastAsia" w:hAnsiTheme="minorEastAsia" w:eastAsiaTheme="minorEastAsia"/>
          <w:szCs w:val="21"/>
          <w:highlight w:val="none"/>
        </w:rPr>
        <w:t>w.cippe.com.cn</w:t>
      </w:r>
      <w:r>
        <w:rPr>
          <w:rStyle w:val="20"/>
          <w:rFonts w:cs="Arial" w:asciiTheme="minorEastAsia" w:hAnsiTheme="minorEastAsia" w:eastAsiaTheme="minorEastAsia"/>
          <w:szCs w:val="21"/>
          <w:highlight w:val="none"/>
        </w:rPr>
        <w:fldChar w:fldCharType="end"/>
      </w:r>
      <w:r>
        <w:rPr>
          <w:rFonts w:hint="eastAsia" w:cs="Arial" w:asciiTheme="minorEastAsia" w:hAnsiTheme="minorEastAsia" w:eastAsiaTheme="minorEastAsia"/>
          <w:szCs w:val="21"/>
          <w:highlight w:val="none"/>
        </w:rPr>
        <w:t xml:space="preserve">             邮  箱</w:t>
      </w:r>
      <w:r>
        <w:rPr>
          <w:rFonts w:cs="Arial" w:asciiTheme="minorEastAsia" w:hAnsiTheme="minorEastAsia" w:eastAsiaTheme="minorEastAsia"/>
          <w:szCs w:val="21"/>
          <w:highlight w:val="none"/>
        </w:rPr>
        <w:t>：</w:t>
      </w:r>
      <w:r>
        <w:rPr>
          <w:rFonts w:hint="eastAsia" w:cs="Arial" w:asciiTheme="minorEastAsia" w:hAnsiTheme="minorEastAsia" w:eastAsiaTheme="minorEastAsia"/>
          <w:szCs w:val="21"/>
          <w:highlight w:val="none"/>
        </w:rPr>
        <w:t xml:space="preserve"> </w:t>
      </w:r>
      <w:r>
        <w:rPr>
          <w:rFonts w:hint="eastAsia" w:cs="Arial" w:asciiTheme="minorEastAsia" w:hAnsiTheme="minorEastAsia" w:eastAsiaTheme="minorEastAsia"/>
          <w:szCs w:val="21"/>
          <w:highlight w:val="none"/>
          <w:lang w:val="en-US" w:eastAsia="zh-CN"/>
        </w:rPr>
        <w:t>hs@zhenweiexpo.com</w:t>
      </w:r>
    </w:p>
    <w:p>
      <w:pPr>
        <w:keepNext w:val="0"/>
        <w:keepLines w:val="0"/>
        <w:pageBreakBefore w:val="0"/>
        <w:widowControl w:val="0"/>
        <w:tabs>
          <w:tab w:val="left" w:pos="9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1890" w:firstLineChars="900"/>
        <w:textAlignment w:val="auto"/>
        <w:rPr>
          <w:rFonts w:hint="default" w:asciiTheme="minorEastAsia" w:hAnsiTheme="minorEastAsia" w:eastAsiaTheme="minorEastAsia" w:cstheme="minorEastAsia"/>
          <w:highlight w:val="none"/>
          <w:lang w:val="en-US" w:eastAsia="zh-CN"/>
        </w:rPr>
      </w:pPr>
      <w:r>
        <w:rPr>
          <w:rFonts w:cs="Arial" w:asciiTheme="minorEastAsia" w:hAnsiTheme="minorEastAsia" w:eastAsiaTheme="minorEastAsia"/>
          <w:szCs w:val="21"/>
          <w:highlight w:val="none"/>
        </w:rPr>
        <w:t>联系人</w:t>
      </w:r>
      <w:r>
        <w:rPr>
          <w:rFonts w:hint="eastAsia" w:cs="Arial" w:asciiTheme="minorEastAsia" w:hAnsiTheme="minorEastAsia" w:eastAsiaTheme="minorEastAsia"/>
          <w:szCs w:val="21"/>
          <w:highlight w:val="none"/>
        </w:rPr>
        <w:t>：</w:t>
      </w:r>
      <w:r>
        <w:rPr>
          <w:rFonts w:hint="eastAsia" w:cs="Arial" w:asciiTheme="minorEastAsia" w:hAnsiTheme="minorEastAsia" w:eastAsiaTheme="minorEastAsia"/>
          <w:szCs w:val="21"/>
          <w:highlight w:val="none"/>
          <w:lang w:val="en-US" w:eastAsia="zh-CN"/>
        </w:rPr>
        <w:t>胡珊</w:t>
      </w:r>
    </w:p>
    <w:p>
      <w:pPr>
        <w:rPr>
          <w:rFonts w:hint="eastAsia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br w:type="page"/>
      </w:r>
    </w:p>
    <w:p>
      <w:pPr>
        <w:rPr>
          <w:rFonts w:ascii="Arial" w:hAnsi="Arial" w:cs="Arial"/>
          <w:sz w:val="28"/>
          <w:szCs w:val="28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drawing>
          <wp:inline distT="0" distB="0" distL="114300" distR="114300">
            <wp:extent cx="1601470" cy="342265"/>
            <wp:effectExtent l="0" t="0" r="17780" b="63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342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 w:val="28"/>
          <w:szCs w:val="28"/>
          <w:highlight w:val="none"/>
        </w:rPr>
        <w:t xml:space="preserve"> </w:t>
      </w:r>
    </w:p>
    <w:p>
      <w:pPr>
        <w:spacing w:line="440" w:lineRule="exact"/>
        <w:jc w:val="center"/>
        <w:rPr>
          <w:b/>
          <w:highlight w:val="none"/>
        </w:rPr>
      </w:pPr>
      <w:r>
        <w:rPr>
          <w:rFonts w:hint="eastAsia" w:ascii="Arial" w:hAnsi="Arial" w:cs="Arial"/>
          <w:b/>
          <w:sz w:val="28"/>
          <w:szCs w:val="28"/>
          <w:highlight w:val="none"/>
        </w:rPr>
        <w:t>第二十</w:t>
      </w:r>
      <w:r>
        <w:rPr>
          <w:rFonts w:hint="eastAsia" w:ascii="Arial" w:hAnsi="Arial" w:cs="Arial"/>
          <w:b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Arial" w:hAnsi="Arial" w:cs="Arial"/>
          <w:b/>
          <w:sz w:val="28"/>
          <w:szCs w:val="28"/>
          <w:highlight w:val="none"/>
        </w:rPr>
        <w:t xml:space="preserve">届中国国际石油石化技术装备展览会（cippe) </w:t>
      </w:r>
      <w:r>
        <w:rPr>
          <w:rFonts w:hint="eastAsia" w:ascii="Arial" w:hAnsi="Arial" w:cs="Arial"/>
          <w:sz w:val="28"/>
          <w:szCs w:val="28"/>
          <w:highlight w:val="none"/>
        </w:rPr>
        <w:t xml:space="preserve">                                                       </w:t>
      </w:r>
      <w:r>
        <w:rPr>
          <w:rFonts w:hint="eastAsia" w:ascii="Arial" w:hAnsi="Arial" w:cs="Arial"/>
          <w:b/>
          <w:sz w:val="28"/>
          <w:szCs w:val="28"/>
          <w:highlight w:val="none"/>
        </w:rPr>
        <w:t>参展申请表</w:t>
      </w:r>
    </w:p>
    <w:p>
      <w:pPr>
        <w:spacing w:line="420" w:lineRule="exact"/>
        <w:ind w:firstLine="180" w:firstLineChars="100"/>
        <w:rPr>
          <w:rFonts w:hint="eastAsia" w:asciiTheme="minorEastAsia" w:hAnsiTheme="minorEastAsia" w:eastAsiaTheme="minorEastAsia" w:cstheme="minorEastAsia"/>
          <w:spacing w:val="20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324600" cy="0"/>
                <wp:effectExtent l="0" t="0" r="0" b="0"/>
                <wp:wrapNone/>
                <wp:docPr id="7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0pt;margin-top:0.95pt;height:0pt;width:498pt;z-index:251663360;mso-width-relative:page;mso-height-relative:page;" filled="f" stroked="t" coordsize="21600,21600" o:gfxdata="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3lBHndEAAAAEAQAADwAAAAAA&#10;AAABACAAAAAiAAAAZHJzL2Rvd25yZXYueG1sUEsBAhQAFAAAAAgAh07iQFn//8bhAQAA0AMAAA4A&#10;AAAAAAAAAQAgAAAAIA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highlight w:val="none"/>
        </w:rPr>
        <w:t>感谢贵单位参加本届展览会，敬请您用正楷字详细填写并加盖公章后传真或邮寄回组织单位。</w:t>
      </w:r>
    </w:p>
    <w:p>
      <w:pPr>
        <w:spacing w:line="320" w:lineRule="exact"/>
        <w:ind w:left="420" w:hanging="420"/>
        <w:jc w:val="center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时间：202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highlight w:val="none"/>
        </w:rPr>
        <w:t>-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highlight w:val="none"/>
        </w:rPr>
        <w:t>日           地点：北京•中国国际展览中心（新馆）</w:t>
      </w:r>
    </w:p>
    <w:p>
      <w:pPr>
        <w:spacing w:line="320" w:lineRule="exact"/>
        <w:ind w:left="420" w:hanging="420"/>
        <w:jc w:val="center"/>
        <w:rPr>
          <w:rFonts w:hint="eastAsia" w:asciiTheme="minorEastAsia" w:hAnsiTheme="minorEastAsia" w:eastAsiaTheme="minorEastAsia" w:cstheme="minorEastAsia"/>
          <w:highlight w:val="none"/>
        </w:rPr>
      </w:pPr>
    </w:p>
    <w:p>
      <w:pPr>
        <w:spacing w:line="400" w:lineRule="exact"/>
        <w:ind w:hanging="126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 xml:space="preserve">            公司名称（中、英文）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　                                                                          </w:t>
      </w:r>
    </w:p>
    <w:p>
      <w:pPr>
        <w:spacing w:line="400" w:lineRule="exact"/>
        <w:ind w:hanging="1260"/>
        <w:rPr>
          <w:rFonts w:hint="eastAsia" w:asciiTheme="minorEastAsia" w:hAnsiTheme="minorEastAsia" w:eastAsiaTheme="minorEastAsia" w:cstheme="minorEastAsia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　　　      详细地址：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邮编：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联系人：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>　         　</w:t>
      </w:r>
      <w:r>
        <w:rPr>
          <w:rFonts w:hint="eastAsia" w:asciiTheme="minorEastAsia" w:hAnsiTheme="minorEastAsia" w:eastAsiaTheme="minorEastAsia" w:cstheme="minorEastAsia"/>
          <w:highlight w:val="none"/>
        </w:rPr>
        <w:t>职务：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电话：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　        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传真：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             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手机号：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　              　　  </w:t>
      </w:r>
      <w:r>
        <w:rPr>
          <w:rFonts w:hint="eastAsia" w:asciiTheme="minorEastAsia" w:hAnsiTheme="minorEastAsia" w:eastAsiaTheme="minorEastAsia" w:cstheme="minorEastAsia"/>
          <w:highlight w:val="none"/>
        </w:rPr>
        <w:t>电子信箱：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>　　　        　　      　</w:t>
      </w:r>
      <w:r>
        <w:rPr>
          <w:rFonts w:hint="eastAsia" w:asciiTheme="minorEastAsia" w:hAnsiTheme="minorEastAsia" w:eastAsiaTheme="minorEastAsia" w:cstheme="minorEastAsia"/>
          <w:highlight w:val="none"/>
        </w:rPr>
        <w:t>网址：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             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展示的产品或技术</w: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</w:rPr>
        <w:t>（中、英文）：</w: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u w:val="single"/>
        </w:rPr>
        <w:t xml:space="preserve">        　                            　　　　　　　　    　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u w:val="single"/>
        </w:rPr>
      </w:pPr>
      <w:r>
        <w:rPr>
          <w:rFonts w:ascii="Arial" w:hAnsi="Arial" w:cs="Arial"/>
          <w:highlight w:val="none"/>
        </w:rPr>
        <w:t>■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 参展方式及费用</w:t>
      </w:r>
      <w:r>
        <w:rPr>
          <w:rFonts w:hint="eastAsia" w:asciiTheme="minorEastAsia" w:hAnsiTheme="minorEastAsia" w:eastAsiaTheme="minorEastAsia" w:cstheme="minorEastAsia"/>
          <w:b/>
          <w:highlight w:val="none"/>
        </w:rPr>
        <w:t>（所有报价均未含增值税）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北京：标准展位：国际展区：30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highlight w:val="none"/>
        </w:rPr>
        <w:t>000</w:t>
      </w:r>
      <w:r>
        <w:rPr>
          <w:rFonts w:hint="eastAsia" w:asciiTheme="minorEastAsia" w:hAnsiTheme="minorEastAsia" w:eastAsiaTheme="minorEastAsia" w:cstheme="minorEastAsia"/>
          <w:bCs/>
          <w:highlight w:val="none"/>
        </w:rPr>
        <w:t>元/</w:t>
      </w:r>
      <w:r>
        <w:rPr>
          <w:rFonts w:hint="eastAsia" w:asciiTheme="minorEastAsia" w:hAnsiTheme="minorEastAsia" w:eastAsiaTheme="minorEastAsia" w:cstheme="minorEastAsia"/>
          <w:highlight w:val="none"/>
        </w:rPr>
        <w:t>9m</w:t>
      </w:r>
      <w:r>
        <w:rPr>
          <w:rFonts w:hint="eastAsia" w:asciiTheme="minorEastAsia" w:hAnsiTheme="minorEastAsia" w:eastAsiaTheme="minorEastAsia" w:cstheme="minorEastAsia"/>
          <w:highlight w:val="none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 xml:space="preserve"> (W1/W2);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59" w:leftChars="171" w:firstLine="630" w:firstLineChars="300"/>
        <w:textAlignment w:val="auto"/>
        <w:rPr>
          <w:rFonts w:hint="default" w:asciiTheme="minorEastAsia" w:hAnsiTheme="minorEastAsia" w:eastAsiaTheme="minorEastAsia" w:cstheme="minorEastAsia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标准展位：</w:t>
      </w:r>
      <w:r>
        <w:rPr>
          <w:rFonts w:hint="eastAsia" w:asciiTheme="minorEastAsia" w:hAnsiTheme="minorEastAsia" w:eastAsiaTheme="minorEastAsia" w:cstheme="minorEastAsia"/>
          <w:bCs/>
          <w:highlight w:val="none"/>
        </w:rPr>
        <w:t>国内展区：</w:t>
      </w:r>
      <w:r>
        <w:rPr>
          <w:rFonts w:hint="eastAsia" w:asciiTheme="minorEastAsia" w:hAnsiTheme="minorEastAsia" w:eastAsiaTheme="minorEastAsia" w:cstheme="minorEastAsia"/>
          <w:bCs/>
          <w:highlight w:val="none"/>
          <w:lang w:val="en-US" w:eastAsia="zh-CN"/>
        </w:rPr>
        <w:t>45,</w:t>
      </w:r>
      <w:r>
        <w:rPr>
          <w:rFonts w:hint="eastAsia" w:asciiTheme="minorEastAsia" w:hAnsiTheme="minorEastAsia" w:eastAsiaTheme="minorEastAsia" w:cstheme="minorEastAsia"/>
          <w:bCs/>
          <w:highlight w:val="none"/>
        </w:rPr>
        <w:t>000元/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highlight w:val="none"/>
        </w:rPr>
        <w:t>m</w:t>
      </w:r>
      <w:r>
        <w:rPr>
          <w:rFonts w:hint="eastAsia" w:asciiTheme="minorEastAsia" w:hAnsiTheme="minorEastAsia" w:eastAsiaTheme="minorEastAsia" w:cstheme="minorEastAsia"/>
          <w:highlight w:val="none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bCs/>
          <w:highlight w:val="none"/>
          <w:lang w:val="en-US" w:eastAsia="zh-CN"/>
        </w:rPr>
        <w:t>(</w:t>
      </w:r>
      <w:bookmarkStart w:id="8" w:name="OLE_LINK4"/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E1</w:t>
      </w:r>
      <w:bookmarkEnd w:id="8"/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 xml:space="preserve">/E2/E3); </w:t>
      </w:r>
      <w:r>
        <w:rPr>
          <w:rFonts w:hint="eastAsia" w:asciiTheme="minorEastAsia" w:hAnsiTheme="minorEastAsia" w:eastAsiaTheme="minorEastAsia" w:cstheme="minorEastAsia"/>
          <w:bCs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bCs/>
          <w:highlight w:val="none"/>
          <w:lang w:val="en-US" w:eastAsia="zh-CN"/>
        </w:rPr>
        <w:t>9,</w:t>
      </w:r>
      <w:r>
        <w:rPr>
          <w:rFonts w:hint="eastAsia" w:asciiTheme="minorEastAsia" w:hAnsiTheme="minorEastAsia" w:eastAsiaTheme="minorEastAsia" w:cstheme="minorEastAsia"/>
          <w:bCs/>
          <w:highlight w:val="none"/>
        </w:rPr>
        <w:t>000元/</w:t>
      </w:r>
      <w:r>
        <w:rPr>
          <w:rFonts w:hint="eastAsia" w:asciiTheme="minorEastAsia" w:hAnsiTheme="minorEastAsia" w:eastAsiaTheme="minorEastAsia" w:cstheme="minorEastAsia"/>
          <w:highlight w:val="none"/>
        </w:rPr>
        <w:t>9m</w:t>
      </w:r>
      <w:r>
        <w:rPr>
          <w:rFonts w:hint="eastAsia" w:asciiTheme="minorEastAsia" w:hAnsiTheme="minorEastAsia" w:eastAsiaTheme="minorEastAsia" w:cstheme="minorEastAsia"/>
          <w:highlight w:val="none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highlight w:val="none"/>
          <w:vertAlign w:val="superscript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highlight w:val="none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E4/W3);</w:t>
      </w:r>
      <w:r>
        <w:rPr>
          <w:rFonts w:hint="eastAsia" w:asciiTheme="minorEastAsia" w:hAnsiTheme="minorEastAsia" w:eastAsiaTheme="minorEastAsia" w:cstheme="minorEastAsia"/>
          <w:bCs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bCs/>
          <w:highlight w:val="none"/>
          <w:lang w:val="en-US" w:eastAsia="zh-CN"/>
        </w:rPr>
        <w:t>6,</w:t>
      </w:r>
      <w:r>
        <w:rPr>
          <w:rFonts w:hint="eastAsia" w:asciiTheme="minorEastAsia" w:hAnsiTheme="minorEastAsia" w:eastAsiaTheme="minorEastAsia" w:cstheme="minorEastAsia"/>
          <w:bCs/>
          <w:highlight w:val="none"/>
        </w:rPr>
        <w:t>000元/</w:t>
      </w:r>
      <w:r>
        <w:rPr>
          <w:rFonts w:hint="eastAsia" w:asciiTheme="minorEastAsia" w:hAnsiTheme="minorEastAsia" w:eastAsiaTheme="minorEastAsia" w:cstheme="minorEastAsia"/>
          <w:highlight w:val="none"/>
        </w:rPr>
        <w:t>9m</w:t>
      </w:r>
      <w:r>
        <w:rPr>
          <w:rFonts w:hint="eastAsia" w:asciiTheme="minorEastAsia" w:hAnsiTheme="minorEastAsia" w:eastAsiaTheme="minorEastAsia" w:cstheme="minorEastAsia"/>
          <w:highlight w:val="none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highlight w:val="none"/>
          <w:vertAlign w:val="superscript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highlight w:val="none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W4)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60" w:firstLine="630" w:firstLineChars="300"/>
        <w:textAlignment w:val="auto"/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空 场 地</w:t>
      </w:r>
      <w:r>
        <w:rPr>
          <w:rFonts w:hint="eastAsia" w:asciiTheme="minorEastAsia" w:hAnsiTheme="minorEastAsia" w:eastAsiaTheme="minorEastAsia" w:cstheme="minorEastAsia"/>
          <w:bCs/>
          <w:highlight w:val="none"/>
        </w:rPr>
        <w:t>（36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 m</w:t>
      </w:r>
      <w:r>
        <w:rPr>
          <w:rFonts w:hint="eastAsia" w:asciiTheme="minorEastAsia" w:hAnsiTheme="minorEastAsia" w:eastAsiaTheme="minorEastAsia" w:cstheme="minorEastAsia"/>
          <w:highlight w:val="none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bCs/>
          <w:highlight w:val="none"/>
        </w:rPr>
        <w:t>起租）</w:t>
      </w:r>
      <w:r>
        <w:rPr>
          <w:rFonts w:hint="eastAsia" w:asciiTheme="minorEastAsia" w:hAnsiTheme="minorEastAsia" w:eastAsiaTheme="minorEastAsia" w:cstheme="minorEastAsia"/>
          <w:highlight w:val="none"/>
        </w:rPr>
        <w:t>：国际展区：3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highlight w:val="none"/>
        </w:rPr>
        <w:t>200元/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㎡(W1/W2)</w:t>
      </w:r>
      <w:r>
        <w:rPr>
          <w:rFonts w:hint="eastAsia" w:asciiTheme="minorEastAsia" w:hAnsiTheme="minorEastAsia" w:eastAsiaTheme="minorEastAsia" w:cstheme="minorEastAsia"/>
          <w:highlight w:val="none"/>
        </w:rPr>
        <w:t>；</w:t>
      </w:r>
      <w:r>
        <w:rPr>
          <w:rFonts w:hint="eastAsia" w:asciiTheme="minorEastAsia" w:hAnsiTheme="minorEastAsia" w:eastAsiaTheme="minorEastAsia" w:cstheme="minorEastAsia"/>
          <w:bCs/>
          <w:highlight w:val="none"/>
        </w:rPr>
        <w:t>国内展区：1</w:t>
      </w:r>
      <w:r>
        <w:rPr>
          <w:rFonts w:hint="eastAsia" w:asciiTheme="minorEastAsia" w:hAnsiTheme="minorEastAsia" w:eastAsiaTheme="minorEastAsia" w:cstheme="minorEastAsia"/>
          <w:bCs/>
          <w:highlight w:val="none"/>
          <w:lang w:val="en-US" w:eastAsia="zh-CN"/>
        </w:rPr>
        <w:t>,9</w:t>
      </w:r>
      <w:r>
        <w:rPr>
          <w:rFonts w:hint="eastAsia" w:asciiTheme="minorEastAsia" w:hAnsiTheme="minorEastAsia" w:eastAsiaTheme="minorEastAsia" w:cstheme="minorEastAsia"/>
          <w:bCs/>
          <w:highlight w:val="none"/>
        </w:rPr>
        <w:t>00元/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㎡</w:t>
      </w:r>
      <w:r>
        <w:rPr>
          <w:rFonts w:hint="eastAsia" w:asciiTheme="minorEastAsia" w:hAnsiTheme="minorEastAsia" w:eastAsiaTheme="minorEastAsia" w:cstheme="minorEastAsia"/>
          <w:bCs/>
          <w:highlight w:val="none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E1-E4/W3)；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60" w:firstLine="2940" w:firstLineChars="1400"/>
        <w:textAlignment w:val="auto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bCs/>
          <w:highlight w:val="none"/>
          <w:lang w:val="en-US" w:eastAsia="zh-CN"/>
        </w:rPr>
        <w:t>6,</w:t>
      </w:r>
      <w:r>
        <w:rPr>
          <w:rFonts w:hint="eastAsia" w:asciiTheme="minorEastAsia" w:hAnsiTheme="minorEastAsia" w:eastAsiaTheme="minorEastAsia" w:cstheme="minorEastAsia"/>
          <w:bCs/>
          <w:highlight w:val="none"/>
        </w:rPr>
        <w:t>00元/</w:t>
      </w:r>
      <w:r>
        <w:rPr>
          <w:rFonts w:hint="eastAsia" w:asciiTheme="minorEastAsia" w:hAnsiTheme="minorEastAsia" w:eastAsiaTheme="minorEastAsia" w:cstheme="minorEastAsia"/>
          <w:highlight w:val="none"/>
        </w:rPr>
        <w:t>m</w:t>
      </w:r>
      <w:r>
        <w:rPr>
          <w:rFonts w:hint="eastAsia" w:asciiTheme="minorEastAsia" w:hAnsiTheme="minorEastAsia" w:eastAsiaTheme="minorEastAsia" w:cstheme="minorEastAsia"/>
          <w:highlight w:val="none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highlight w:val="none"/>
          <w:vertAlign w:val="superscript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highlight w:val="none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W4)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15" w:firstLineChars="150"/>
        <w:textAlignment w:val="auto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选择空场地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highlight w:val="none"/>
        </w:rPr>
        <w:t>m</w:t>
      </w:r>
      <w:r>
        <w:rPr>
          <w:rFonts w:hint="eastAsia" w:asciiTheme="minorEastAsia" w:hAnsiTheme="minorEastAsia" w:eastAsiaTheme="minorEastAsia" w:cstheme="minorEastAsia"/>
          <w:highlight w:val="none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highlight w:val="none"/>
        </w:rPr>
        <w:t>；标准展位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　　     </w:t>
      </w:r>
      <w:r>
        <w:rPr>
          <w:rFonts w:hint="eastAsia" w:asciiTheme="minorEastAsia" w:hAnsiTheme="minorEastAsia" w:eastAsiaTheme="minorEastAsia" w:cstheme="minorEastAsia"/>
          <w:highlight w:val="none"/>
        </w:rPr>
        <w:t>个；展位号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　  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费用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会刊广告：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封  面  ￥3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6,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000元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封  二  ￥2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5,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000元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扉    页  ￥2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5,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40" w:firstLineChars="8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封  底  ￥3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0,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000元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封  三  ￥2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2,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000元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彩色内页  ￥1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2,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000元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展会日报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整版全彩US$9,688  规格：246 x 374mm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半版、彩色US$4,844  规格：246 x 181mm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技术讲座：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12,</w:t>
      </w:r>
      <w:r>
        <w:rPr>
          <w:rFonts w:hint="eastAsia" w:asciiTheme="minorEastAsia" w:hAnsiTheme="minorEastAsia" w:eastAsiaTheme="minorEastAsia" w:cstheme="minorEastAsia"/>
          <w:highlight w:val="none"/>
        </w:rPr>
        <w:t>000元/场  选择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场，主讲人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　  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职务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费用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会务费：1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highlight w:val="none"/>
        </w:rPr>
        <w:t>200元/人（包括展会资料、午餐、水、答谢晚宴、礼品等）  共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highlight w:val="none"/>
        </w:rPr>
        <w:t>人，费用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 xml:space="preserve">媒体宣传：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</w:rPr>
        <w:t>展前宣传 2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000元/次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</w:rPr>
        <w:t>展中宣传 7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000元/次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</w:rPr>
        <w:t>展后宣传 2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highlight w:val="none"/>
        </w:rPr>
        <w:t>000元/次  共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highlight w:val="none"/>
        </w:rPr>
        <w:t>次，费用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摄影摄像服务：摄影、摄像4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highlight w:val="none"/>
        </w:rPr>
        <w:t>000元/天   共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highlight w:val="none"/>
        </w:rPr>
        <w:t>天，费用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展会直播：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</w:rPr>
        <w:t>探馆直播（5-20分钟）2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000元/场 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</w:rPr>
        <w:t>专场直播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50,000</w:t>
      </w:r>
      <w:r>
        <w:rPr>
          <w:rFonts w:hint="eastAsia" w:asciiTheme="minorEastAsia" w:hAnsiTheme="minorEastAsia" w:eastAsiaTheme="minorEastAsia" w:cstheme="minorEastAsia"/>
          <w:highlight w:val="none"/>
        </w:rPr>
        <w:t>元起/场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 共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highlight w:val="none"/>
        </w:rPr>
        <w:t>场，费用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采购对接会：15,000元/场，组委会提供场地、邀请采购团。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highlight w:val="none"/>
          <w:u w:val="single"/>
        </w:rPr>
      </w:pPr>
      <w:r>
        <w:rPr>
          <w:rFonts w:ascii="Arial" w:hAnsi="Arial" w:cs="Arial"/>
          <w:highlight w:val="none"/>
        </w:rPr>
        <w:t>■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</w:rPr>
        <w:t>以上参展费用的总金额为人民币:(小写)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</w:rPr>
        <w:t>元整，(大写)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</w:rPr>
        <w:t>整。其中不含税金额为人民币: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</w:rPr>
        <w:t>元整，税率为: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</w:rPr>
        <w:t>%，税金为人民币: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</w:rPr>
        <w:t>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注意:千位符、总价、不含税价、税率、税金各项目的书写格式。付款日期：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Arial" w:hAnsi="宋体" w:cs="Arial"/>
          <w:b/>
          <w:bCs/>
          <w:highlight w:val="none"/>
        </w:rPr>
      </w:pPr>
      <w:r>
        <w:rPr>
          <w:rFonts w:ascii="Arial" w:hAnsi="Arial" w:cs="Arial"/>
          <w:highlight w:val="none"/>
        </w:rPr>
        <w:t>■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 特别提示：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1.报名后十个工作日之内请将参展费用一次性汇入组织单位指定帐户；2.组织单位以收到全部参展费用为最终确认参展商展出资格；3.</w:t>
      </w:r>
      <w:r>
        <w:rPr>
          <w:rFonts w:hint="eastAsia" w:asciiTheme="minorEastAsia" w:hAnsiTheme="minorEastAsia" w:eastAsiaTheme="minorEastAsia" w:cstheme="minorEastAsia"/>
          <w:kern w:val="0"/>
          <w:szCs w:val="21"/>
          <w:highlight w:val="none"/>
        </w:rPr>
        <w:t>已报名参展企业因自身原因不能参展，其所缴纳费用不作返还；4.参展产品需符合展会参展范围和主题，不侵犯他人知识产权，如不相符自行承担全部法律责任；5.</w:t>
      </w:r>
      <w:r>
        <w:rPr>
          <w:rFonts w:hint="eastAsia" w:asciiTheme="minorEastAsia" w:hAnsiTheme="minorEastAsia" w:eastAsiaTheme="minorEastAsia" w:cstheme="minorEastAsia"/>
          <w:bCs/>
          <w:szCs w:val="21"/>
          <w:highlight w:val="none"/>
        </w:rPr>
        <w:t>为保障202</w:t>
      </w:r>
      <w:r>
        <w:rPr>
          <w:rFonts w:hint="eastAsia" w:asciiTheme="minorEastAsia" w:hAnsiTheme="minorEastAsia" w:eastAsiaTheme="minorEastAsia" w:cstheme="minorEastAsia"/>
          <w:bCs/>
          <w:szCs w:val="21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/>
          <w:szCs w:val="21"/>
          <w:highlight w:val="none"/>
        </w:rPr>
        <w:t>年石油展搭建质量，请各参展商选择主办方指定搭建商搭建贵司展台，除指定搭建商外不允许任何搭建公司进入场馆</w:t>
      </w:r>
      <w:r>
        <w:rPr>
          <w:rFonts w:hint="eastAsia" w:asciiTheme="minorEastAsia" w:hAnsiTheme="minorEastAsia" w:eastAsiaTheme="minorEastAsia" w:cstheme="minorEastAsia"/>
          <w:kern w:val="0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highlight w:val="none"/>
        </w:rPr>
        <w:t>组织单位：振威国际会展集团  北京振威展览有限公司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158750</wp:posOffset>
                </wp:positionV>
                <wp:extent cx="2171700" cy="5080"/>
                <wp:effectExtent l="0" t="4445" r="0" b="9525"/>
                <wp:wrapNone/>
                <wp:docPr id="8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flip:y;margin-left:327pt;margin-top:12.5pt;height:0.4pt;width:171pt;z-index:251665408;mso-width-relative:page;mso-height-relative:page;" filled="f" stroked="t" coordsize="21600,21600" o:gfxdata="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NiG&#10;ptcAAAAJAQAADwAAAAAAAAABACAAAAAiAAAAZHJzL2Rvd25yZXYueG1sUEsBAhQAFAAAAAgAh07i&#10;QFRki3zqAQAA3QMAAA4AAAAAAAAAAQAgAAAAJ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highlight w:val="none"/>
        </w:rPr>
        <w:t>地  址：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北京市通州区经海五路1号院国际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40" w:firstLineChars="400"/>
        <w:textAlignment w:val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企业大道III13号楼振威展览大厦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电  话：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86-15645150730</w:t>
      </w:r>
      <w:bookmarkStart w:id="10" w:name="_GoBack"/>
      <w:bookmarkEnd w:id="10"/>
      <w:r>
        <w:rPr>
          <w:rFonts w:hint="eastAsia" w:asciiTheme="minorEastAsia" w:hAnsiTheme="minorEastAsia" w:eastAsiaTheme="minorEastAsia" w:cstheme="minorEastAsia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                参展单位印鉴及负责人签名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mail：</w:t>
      </w:r>
      <w:bookmarkStart w:id="9" w:name="OLE_LINK1"/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hs@zhenweiexpo.com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                                     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    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highlight w:val="none"/>
        </w:rPr>
        <w:t>年   月   日</w:t>
      </w:r>
      <w:bookmarkEnd w:id="9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联系人：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胡珊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lang w:val="en-US" w:eastAsia="zh-CN"/>
        </w:rPr>
        <w:t xml:space="preserve"> </w:t>
      </w:r>
    </w:p>
    <w:sectPr>
      <w:pgSz w:w="11906" w:h="16838"/>
      <w:pgMar w:top="624" w:right="851" w:bottom="567" w:left="850" w:header="454" w:footer="45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2</w:t>
    </w:r>
    <w:r>
      <w:fldChar w:fldCharType="end"/>
    </w:r>
  </w:p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>
    <w:pPr>
      <w:pStyle w:val="1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4</w:t>
    </w:r>
    <w:r>
      <w:fldChar w:fldCharType="end"/>
    </w:r>
  </w:p>
  <w:p>
    <w:pPr>
      <w:pStyle w:val="1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A93751"/>
    <w:multiLevelType w:val="singleLevel"/>
    <w:tmpl w:val="B1A93751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CADBA255"/>
    <w:multiLevelType w:val="singleLevel"/>
    <w:tmpl w:val="CADBA255"/>
    <w:lvl w:ilvl="0" w:tentative="0">
      <w:start w:val="1"/>
      <w:numFmt w:val="decimal"/>
      <w:lvlText w:val="%1."/>
      <w:lvlJc w:val="left"/>
      <w:pPr>
        <w:tabs>
          <w:tab w:val="left" w:pos="340"/>
        </w:tabs>
        <w:ind w:left="340" w:hanging="3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yNjRiOGVjNGQ4OGM0YzEzYzQ1MWZkNTM4MWNiNmEifQ=="/>
  </w:docVars>
  <w:rsids>
    <w:rsidRoot w:val="00172A27"/>
    <w:rsid w:val="00000D87"/>
    <w:rsid w:val="00025219"/>
    <w:rsid w:val="00025E2F"/>
    <w:rsid w:val="00027E14"/>
    <w:rsid w:val="000341E5"/>
    <w:rsid w:val="00044382"/>
    <w:rsid w:val="000506C9"/>
    <w:rsid w:val="00051AFC"/>
    <w:rsid w:val="0005248A"/>
    <w:rsid w:val="00052F62"/>
    <w:rsid w:val="00060793"/>
    <w:rsid w:val="00065943"/>
    <w:rsid w:val="00070129"/>
    <w:rsid w:val="00072781"/>
    <w:rsid w:val="000851C8"/>
    <w:rsid w:val="0009414C"/>
    <w:rsid w:val="000B0690"/>
    <w:rsid w:val="000B4030"/>
    <w:rsid w:val="000E089F"/>
    <w:rsid w:val="000F1B82"/>
    <w:rsid w:val="0011063E"/>
    <w:rsid w:val="0011736A"/>
    <w:rsid w:val="00130718"/>
    <w:rsid w:val="00133459"/>
    <w:rsid w:val="00154CEC"/>
    <w:rsid w:val="0015719C"/>
    <w:rsid w:val="001610C7"/>
    <w:rsid w:val="00161F46"/>
    <w:rsid w:val="001711A1"/>
    <w:rsid w:val="00172A27"/>
    <w:rsid w:val="001A22B9"/>
    <w:rsid w:val="001B0302"/>
    <w:rsid w:val="001B5C9F"/>
    <w:rsid w:val="001B724C"/>
    <w:rsid w:val="001E6AD3"/>
    <w:rsid w:val="00205CCB"/>
    <w:rsid w:val="002101DD"/>
    <w:rsid w:val="0021266F"/>
    <w:rsid w:val="00223F76"/>
    <w:rsid w:val="00243D31"/>
    <w:rsid w:val="00251E18"/>
    <w:rsid w:val="00252A0C"/>
    <w:rsid w:val="00254F11"/>
    <w:rsid w:val="00262E92"/>
    <w:rsid w:val="002745C1"/>
    <w:rsid w:val="0027609D"/>
    <w:rsid w:val="00276801"/>
    <w:rsid w:val="00282835"/>
    <w:rsid w:val="002965B7"/>
    <w:rsid w:val="002A06F8"/>
    <w:rsid w:val="002B100C"/>
    <w:rsid w:val="002B5E01"/>
    <w:rsid w:val="003148A2"/>
    <w:rsid w:val="00320B73"/>
    <w:rsid w:val="00321051"/>
    <w:rsid w:val="00321941"/>
    <w:rsid w:val="0032296F"/>
    <w:rsid w:val="00324719"/>
    <w:rsid w:val="0033076A"/>
    <w:rsid w:val="00334803"/>
    <w:rsid w:val="00343C2D"/>
    <w:rsid w:val="00343F05"/>
    <w:rsid w:val="00363C4F"/>
    <w:rsid w:val="00365D4E"/>
    <w:rsid w:val="00380100"/>
    <w:rsid w:val="003813F2"/>
    <w:rsid w:val="00397D76"/>
    <w:rsid w:val="003A7A5C"/>
    <w:rsid w:val="003C2619"/>
    <w:rsid w:val="003C3EE8"/>
    <w:rsid w:val="003C5DAB"/>
    <w:rsid w:val="003C774E"/>
    <w:rsid w:val="003D2DA2"/>
    <w:rsid w:val="003E1945"/>
    <w:rsid w:val="003E704B"/>
    <w:rsid w:val="004151D7"/>
    <w:rsid w:val="004218C7"/>
    <w:rsid w:val="0044208C"/>
    <w:rsid w:val="00445A6D"/>
    <w:rsid w:val="00452269"/>
    <w:rsid w:val="00454D90"/>
    <w:rsid w:val="004628F7"/>
    <w:rsid w:val="004659A9"/>
    <w:rsid w:val="004707A3"/>
    <w:rsid w:val="00471023"/>
    <w:rsid w:val="00473156"/>
    <w:rsid w:val="00475E0B"/>
    <w:rsid w:val="00480FE6"/>
    <w:rsid w:val="004824E8"/>
    <w:rsid w:val="004A6362"/>
    <w:rsid w:val="004A7419"/>
    <w:rsid w:val="004B0ABB"/>
    <w:rsid w:val="004B0B99"/>
    <w:rsid w:val="004D238D"/>
    <w:rsid w:val="004E1D08"/>
    <w:rsid w:val="004E275A"/>
    <w:rsid w:val="004E28E7"/>
    <w:rsid w:val="004E3297"/>
    <w:rsid w:val="004F2C55"/>
    <w:rsid w:val="005016BE"/>
    <w:rsid w:val="00521E91"/>
    <w:rsid w:val="00534B3D"/>
    <w:rsid w:val="005437F2"/>
    <w:rsid w:val="005448EA"/>
    <w:rsid w:val="0054600A"/>
    <w:rsid w:val="005554AB"/>
    <w:rsid w:val="00567A50"/>
    <w:rsid w:val="00570DBB"/>
    <w:rsid w:val="00571FE3"/>
    <w:rsid w:val="00584D7C"/>
    <w:rsid w:val="00587212"/>
    <w:rsid w:val="005932AE"/>
    <w:rsid w:val="00593F26"/>
    <w:rsid w:val="005941BE"/>
    <w:rsid w:val="00594FF1"/>
    <w:rsid w:val="005959BA"/>
    <w:rsid w:val="00596D4D"/>
    <w:rsid w:val="005B3234"/>
    <w:rsid w:val="005D216B"/>
    <w:rsid w:val="005D2723"/>
    <w:rsid w:val="005E20C5"/>
    <w:rsid w:val="005E33DB"/>
    <w:rsid w:val="005F5891"/>
    <w:rsid w:val="00602771"/>
    <w:rsid w:val="006148D2"/>
    <w:rsid w:val="00614E62"/>
    <w:rsid w:val="006178B4"/>
    <w:rsid w:val="00617B44"/>
    <w:rsid w:val="00623D66"/>
    <w:rsid w:val="006344C2"/>
    <w:rsid w:val="006430E5"/>
    <w:rsid w:val="00644CA9"/>
    <w:rsid w:val="0064725C"/>
    <w:rsid w:val="00664A4D"/>
    <w:rsid w:val="00664D4A"/>
    <w:rsid w:val="00673EB9"/>
    <w:rsid w:val="0067689A"/>
    <w:rsid w:val="00677226"/>
    <w:rsid w:val="00680334"/>
    <w:rsid w:val="006966ED"/>
    <w:rsid w:val="006D127B"/>
    <w:rsid w:val="006D625F"/>
    <w:rsid w:val="006D66DA"/>
    <w:rsid w:val="006F2FB6"/>
    <w:rsid w:val="0070202A"/>
    <w:rsid w:val="007065C9"/>
    <w:rsid w:val="007179A6"/>
    <w:rsid w:val="00721EC3"/>
    <w:rsid w:val="00741E30"/>
    <w:rsid w:val="00742049"/>
    <w:rsid w:val="00744C3E"/>
    <w:rsid w:val="00755EEC"/>
    <w:rsid w:val="00764BF1"/>
    <w:rsid w:val="00767FE2"/>
    <w:rsid w:val="007A09FB"/>
    <w:rsid w:val="007A7613"/>
    <w:rsid w:val="007B3713"/>
    <w:rsid w:val="007C4010"/>
    <w:rsid w:val="007F0633"/>
    <w:rsid w:val="007F36EB"/>
    <w:rsid w:val="00802FCE"/>
    <w:rsid w:val="00803846"/>
    <w:rsid w:val="008062BB"/>
    <w:rsid w:val="0081721B"/>
    <w:rsid w:val="00820310"/>
    <w:rsid w:val="00826AFF"/>
    <w:rsid w:val="008306C4"/>
    <w:rsid w:val="00835898"/>
    <w:rsid w:val="00837A8E"/>
    <w:rsid w:val="00840EF9"/>
    <w:rsid w:val="0084230E"/>
    <w:rsid w:val="00850836"/>
    <w:rsid w:val="00855ECA"/>
    <w:rsid w:val="00863DBB"/>
    <w:rsid w:val="0088208F"/>
    <w:rsid w:val="00883F4D"/>
    <w:rsid w:val="00885C80"/>
    <w:rsid w:val="008974E5"/>
    <w:rsid w:val="008B4044"/>
    <w:rsid w:val="008B4AB5"/>
    <w:rsid w:val="008C12C0"/>
    <w:rsid w:val="008D0A1C"/>
    <w:rsid w:val="008F3E55"/>
    <w:rsid w:val="008F76CB"/>
    <w:rsid w:val="008F7CFF"/>
    <w:rsid w:val="00907181"/>
    <w:rsid w:val="0091013E"/>
    <w:rsid w:val="00911927"/>
    <w:rsid w:val="00913B99"/>
    <w:rsid w:val="009238CC"/>
    <w:rsid w:val="009266E0"/>
    <w:rsid w:val="00926CCD"/>
    <w:rsid w:val="00927DBF"/>
    <w:rsid w:val="0093065B"/>
    <w:rsid w:val="00946442"/>
    <w:rsid w:val="009716CD"/>
    <w:rsid w:val="00973D21"/>
    <w:rsid w:val="0098413C"/>
    <w:rsid w:val="009951A6"/>
    <w:rsid w:val="009B1BE7"/>
    <w:rsid w:val="009B2388"/>
    <w:rsid w:val="009E3F27"/>
    <w:rsid w:val="009E4052"/>
    <w:rsid w:val="009E45A9"/>
    <w:rsid w:val="00A007DC"/>
    <w:rsid w:val="00A018D8"/>
    <w:rsid w:val="00A02053"/>
    <w:rsid w:val="00A050CD"/>
    <w:rsid w:val="00A138AA"/>
    <w:rsid w:val="00A23D21"/>
    <w:rsid w:val="00A23E44"/>
    <w:rsid w:val="00A32117"/>
    <w:rsid w:val="00A45C50"/>
    <w:rsid w:val="00A47A34"/>
    <w:rsid w:val="00A54EC7"/>
    <w:rsid w:val="00A57BD1"/>
    <w:rsid w:val="00A621A2"/>
    <w:rsid w:val="00A62FD9"/>
    <w:rsid w:val="00A6460E"/>
    <w:rsid w:val="00A861D8"/>
    <w:rsid w:val="00A90422"/>
    <w:rsid w:val="00AC7926"/>
    <w:rsid w:val="00AD7090"/>
    <w:rsid w:val="00AE1F97"/>
    <w:rsid w:val="00AE3896"/>
    <w:rsid w:val="00AF065A"/>
    <w:rsid w:val="00B3399F"/>
    <w:rsid w:val="00B36278"/>
    <w:rsid w:val="00B403DE"/>
    <w:rsid w:val="00B463E0"/>
    <w:rsid w:val="00B54550"/>
    <w:rsid w:val="00B76C8A"/>
    <w:rsid w:val="00B8372B"/>
    <w:rsid w:val="00B84404"/>
    <w:rsid w:val="00B91115"/>
    <w:rsid w:val="00BC0DD2"/>
    <w:rsid w:val="00BC3084"/>
    <w:rsid w:val="00BD133F"/>
    <w:rsid w:val="00BD3599"/>
    <w:rsid w:val="00BD77CB"/>
    <w:rsid w:val="00BD7ED5"/>
    <w:rsid w:val="00C004F8"/>
    <w:rsid w:val="00C21AB4"/>
    <w:rsid w:val="00C21D2B"/>
    <w:rsid w:val="00C425DB"/>
    <w:rsid w:val="00C42C83"/>
    <w:rsid w:val="00C465FE"/>
    <w:rsid w:val="00C51432"/>
    <w:rsid w:val="00C61F41"/>
    <w:rsid w:val="00C64788"/>
    <w:rsid w:val="00C6557F"/>
    <w:rsid w:val="00C943D7"/>
    <w:rsid w:val="00C96CD9"/>
    <w:rsid w:val="00CA7F82"/>
    <w:rsid w:val="00CB2027"/>
    <w:rsid w:val="00CB2507"/>
    <w:rsid w:val="00CC596C"/>
    <w:rsid w:val="00CD5F91"/>
    <w:rsid w:val="00CE4370"/>
    <w:rsid w:val="00CE56BD"/>
    <w:rsid w:val="00CE7053"/>
    <w:rsid w:val="00CF048B"/>
    <w:rsid w:val="00D00DC0"/>
    <w:rsid w:val="00D12BD2"/>
    <w:rsid w:val="00D2341E"/>
    <w:rsid w:val="00D265E6"/>
    <w:rsid w:val="00D34A63"/>
    <w:rsid w:val="00D4384A"/>
    <w:rsid w:val="00D6173C"/>
    <w:rsid w:val="00D67FD2"/>
    <w:rsid w:val="00D72378"/>
    <w:rsid w:val="00D8116D"/>
    <w:rsid w:val="00D83A08"/>
    <w:rsid w:val="00D85888"/>
    <w:rsid w:val="00D935EB"/>
    <w:rsid w:val="00DC36EF"/>
    <w:rsid w:val="00DD6526"/>
    <w:rsid w:val="00DE1D94"/>
    <w:rsid w:val="00DF2DCC"/>
    <w:rsid w:val="00E00F3E"/>
    <w:rsid w:val="00E024AB"/>
    <w:rsid w:val="00E221E8"/>
    <w:rsid w:val="00E2696C"/>
    <w:rsid w:val="00E341AC"/>
    <w:rsid w:val="00E42931"/>
    <w:rsid w:val="00E54076"/>
    <w:rsid w:val="00E56E15"/>
    <w:rsid w:val="00E616B3"/>
    <w:rsid w:val="00E77166"/>
    <w:rsid w:val="00E804EE"/>
    <w:rsid w:val="00E91307"/>
    <w:rsid w:val="00E9264C"/>
    <w:rsid w:val="00E94B04"/>
    <w:rsid w:val="00E97E3C"/>
    <w:rsid w:val="00EA13BA"/>
    <w:rsid w:val="00EA5951"/>
    <w:rsid w:val="00EB2130"/>
    <w:rsid w:val="00EC479B"/>
    <w:rsid w:val="00ED3B10"/>
    <w:rsid w:val="00ED3B52"/>
    <w:rsid w:val="00F01949"/>
    <w:rsid w:val="00F111DA"/>
    <w:rsid w:val="00F26EB7"/>
    <w:rsid w:val="00F27D44"/>
    <w:rsid w:val="00F3027E"/>
    <w:rsid w:val="00F449D8"/>
    <w:rsid w:val="00F44FCE"/>
    <w:rsid w:val="00F450E7"/>
    <w:rsid w:val="00F53F70"/>
    <w:rsid w:val="00F75977"/>
    <w:rsid w:val="00F8034F"/>
    <w:rsid w:val="00F95BC2"/>
    <w:rsid w:val="00FA082F"/>
    <w:rsid w:val="00FA3515"/>
    <w:rsid w:val="00FA54AF"/>
    <w:rsid w:val="00FB48A0"/>
    <w:rsid w:val="00FC0559"/>
    <w:rsid w:val="00FC155D"/>
    <w:rsid w:val="00FD7E1D"/>
    <w:rsid w:val="00FE2E70"/>
    <w:rsid w:val="00FF2EF6"/>
    <w:rsid w:val="013418C4"/>
    <w:rsid w:val="01777EBE"/>
    <w:rsid w:val="01A43075"/>
    <w:rsid w:val="01E4723D"/>
    <w:rsid w:val="022E60F9"/>
    <w:rsid w:val="02AC59DD"/>
    <w:rsid w:val="02B66612"/>
    <w:rsid w:val="02CD7BF4"/>
    <w:rsid w:val="02D06287"/>
    <w:rsid w:val="02F35CC4"/>
    <w:rsid w:val="02F449E9"/>
    <w:rsid w:val="036C2C1E"/>
    <w:rsid w:val="03B5313B"/>
    <w:rsid w:val="03D852CD"/>
    <w:rsid w:val="04444259"/>
    <w:rsid w:val="04A808C8"/>
    <w:rsid w:val="0525301D"/>
    <w:rsid w:val="05B329AD"/>
    <w:rsid w:val="06B93D57"/>
    <w:rsid w:val="06C56D1D"/>
    <w:rsid w:val="07035D9D"/>
    <w:rsid w:val="071E6A3A"/>
    <w:rsid w:val="0751776C"/>
    <w:rsid w:val="077D75A9"/>
    <w:rsid w:val="07A507C2"/>
    <w:rsid w:val="082250A2"/>
    <w:rsid w:val="08A143F1"/>
    <w:rsid w:val="08E42FE5"/>
    <w:rsid w:val="09F426C7"/>
    <w:rsid w:val="0A883A14"/>
    <w:rsid w:val="0B7F5BDE"/>
    <w:rsid w:val="0B894168"/>
    <w:rsid w:val="0BED5794"/>
    <w:rsid w:val="0BFB2A0F"/>
    <w:rsid w:val="0D603DC1"/>
    <w:rsid w:val="0D973F31"/>
    <w:rsid w:val="0DB25E6D"/>
    <w:rsid w:val="0DE71813"/>
    <w:rsid w:val="0E6D042F"/>
    <w:rsid w:val="0EA55355"/>
    <w:rsid w:val="0F036555"/>
    <w:rsid w:val="0FBD24C9"/>
    <w:rsid w:val="11147B07"/>
    <w:rsid w:val="11455969"/>
    <w:rsid w:val="11790D5B"/>
    <w:rsid w:val="11890504"/>
    <w:rsid w:val="11C84CED"/>
    <w:rsid w:val="123340CC"/>
    <w:rsid w:val="12D23733"/>
    <w:rsid w:val="12FF43AC"/>
    <w:rsid w:val="13F21960"/>
    <w:rsid w:val="146531AC"/>
    <w:rsid w:val="14C03F4A"/>
    <w:rsid w:val="14F90F27"/>
    <w:rsid w:val="154D22D2"/>
    <w:rsid w:val="15AE092D"/>
    <w:rsid w:val="15CA66DC"/>
    <w:rsid w:val="16721B5E"/>
    <w:rsid w:val="16FD7508"/>
    <w:rsid w:val="18642944"/>
    <w:rsid w:val="1AC325E7"/>
    <w:rsid w:val="1AED1555"/>
    <w:rsid w:val="1B393018"/>
    <w:rsid w:val="1B5F0BAE"/>
    <w:rsid w:val="1B7F7574"/>
    <w:rsid w:val="1B9E4AFC"/>
    <w:rsid w:val="1BC84320"/>
    <w:rsid w:val="1C40112B"/>
    <w:rsid w:val="1C556603"/>
    <w:rsid w:val="1CD1472D"/>
    <w:rsid w:val="1D276C22"/>
    <w:rsid w:val="1DF56756"/>
    <w:rsid w:val="1E6A5362"/>
    <w:rsid w:val="20554486"/>
    <w:rsid w:val="205B4AC8"/>
    <w:rsid w:val="217155B3"/>
    <w:rsid w:val="217B5189"/>
    <w:rsid w:val="22A41AA5"/>
    <w:rsid w:val="22CF45AB"/>
    <w:rsid w:val="230071D7"/>
    <w:rsid w:val="2363479D"/>
    <w:rsid w:val="236A129B"/>
    <w:rsid w:val="23B461F1"/>
    <w:rsid w:val="23CB6FDC"/>
    <w:rsid w:val="24046F57"/>
    <w:rsid w:val="240E6290"/>
    <w:rsid w:val="24393AD0"/>
    <w:rsid w:val="2439426F"/>
    <w:rsid w:val="24EA4874"/>
    <w:rsid w:val="25106214"/>
    <w:rsid w:val="252F3296"/>
    <w:rsid w:val="257518FF"/>
    <w:rsid w:val="25D818CE"/>
    <w:rsid w:val="260600CE"/>
    <w:rsid w:val="28210304"/>
    <w:rsid w:val="28253E8A"/>
    <w:rsid w:val="28625A8F"/>
    <w:rsid w:val="28CA519C"/>
    <w:rsid w:val="299B42A9"/>
    <w:rsid w:val="2AA178F1"/>
    <w:rsid w:val="2B0909A6"/>
    <w:rsid w:val="2B9800FD"/>
    <w:rsid w:val="2BC712A1"/>
    <w:rsid w:val="2BF457A1"/>
    <w:rsid w:val="2C40320E"/>
    <w:rsid w:val="2CC834B5"/>
    <w:rsid w:val="2D910C53"/>
    <w:rsid w:val="2DCF30C6"/>
    <w:rsid w:val="2DD44208"/>
    <w:rsid w:val="2E0E7FC0"/>
    <w:rsid w:val="2E2D3CD6"/>
    <w:rsid w:val="2F6F7A5F"/>
    <w:rsid w:val="2FDC69D4"/>
    <w:rsid w:val="3073403F"/>
    <w:rsid w:val="30911E85"/>
    <w:rsid w:val="30965091"/>
    <w:rsid w:val="30EE3B39"/>
    <w:rsid w:val="31396CBE"/>
    <w:rsid w:val="315E2A4B"/>
    <w:rsid w:val="318E7B7D"/>
    <w:rsid w:val="31E95636"/>
    <w:rsid w:val="322113A3"/>
    <w:rsid w:val="330C7558"/>
    <w:rsid w:val="333E6500"/>
    <w:rsid w:val="338625BB"/>
    <w:rsid w:val="342240EE"/>
    <w:rsid w:val="34261B42"/>
    <w:rsid w:val="34600583"/>
    <w:rsid w:val="346E5381"/>
    <w:rsid w:val="34CE5C4D"/>
    <w:rsid w:val="3565002F"/>
    <w:rsid w:val="36345E90"/>
    <w:rsid w:val="36C13AA4"/>
    <w:rsid w:val="36D90F92"/>
    <w:rsid w:val="36DE1449"/>
    <w:rsid w:val="370C00B4"/>
    <w:rsid w:val="37441F95"/>
    <w:rsid w:val="377674C7"/>
    <w:rsid w:val="37925AA7"/>
    <w:rsid w:val="389A5EE1"/>
    <w:rsid w:val="3A4B2D95"/>
    <w:rsid w:val="3B5E5AA0"/>
    <w:rsid w:val="3B662C35"/>
    <w:rsid w:val="3C5559C3"/>
    <w:rsid w:val="3CAA329B"/>
    <w:rsid w:val="3CCF1D48"/>
    <w:rsid w:val="3D2C740D"/>
    <w:rsid w:val="3DB52A87"/>
    <w:rsid w:val="3DD9623C"/>
    <w:rsid w:val="3E5A66A0"/>
    <w:rsid w:val="3E861C7A"/>
    <w:rsid w:val="406216B2"/>
    <w:rsid w:val="409E702E"/>
    <w:rsid w:val="40D627EA"/>
    <w:rsid w:val="411D3AE7"/>
    <w:rsid w:val="411E510D"/>
    <w:rsid w:val="416B2927"/>
    <w:rsid w:val="416D223D"/>
    <w:rsid w:val="41AD6355"/>
    <w:rsid w:val="41DF350C"/>
    <w:rsid w:val="42053434"/>
    <w:rsid w:val="424D62B9"/>
    <w:rsid w:val="42554460"/>
    <w:rsid w:val="44360150"/>
    <w:rsid w:val="444B194E"/>
    <w:rsid w:val="44943572"/>
    <w:rsid w:val="44A3637C"/>
    <w:rsid w:val="44B8765C"/>
    <w:rsid w:val="4504304A"/>
    <w:rsid w:val="45CE5353"/>
    <w:rsid w:val="46B249F1"/>
    <w:rsid w:val="46D87ACF"/>
    <w:rsid w:val="46F85D7C"/>
    <w:rsid w:val="474170E7"/>
    <w:rsid w:val="47534C95"/>
    <w:rsid w:val="478826F3"/>
    <w:rsid w:val="478E1DB6"/>
    <w:rsid w:val="483874D7"/>
    <w:rsid w:val="489857A5"/>
    <w:rsid w:val="49931654"/>
    <w:rsid w:val="49D13D10"/>
    <w:rsid w:val="4A317590"/>
    <w:rsid w:val="4ABB6B88"/>
    <w:rsid w:val="4AF036E3"/>
    <w:rsid w:val="4B2257F9"/>
    <w:rsid w:val="4B3E10DA"/>
    <w:rsid w:val="4B6543E2"/>
    <w:rsid w:val="4BB242B6"/>
    <w:rsid w:val="4C22066A"/>
    <w:rsid w:val="4C5453DF"/>
    <w:rsid w:val="4C617CC6"/>
    <w:rsid w:val="4CB27C27"/>
    <w:rsid w:val="4CF35287"/>
    <w:rsid w:val="4D3D6B9B"/>
    <w:rsid w:val="4D511A50"/>
    <w:rsid w:val="4D5C22C8"/>
    <w:rsid w:val="4EE36234"/>
    <w:rsid w:val="4F2E78F7"/>
    <w:rsid w:val="504B5DA8"/>
    <w:rsid w:val="50CF1B99"/>
    <w:rsid w:val="517105BF"/>
    <w:rsid w:val="51B31DE0"/>
    <w:rsid w:val="52B02F7D"/>
    <w:rsid w:val="532A548C"/>
    <w:rsid w:val="53A146FE"/>
    <w:rsid w:val="53AE55C8"/>
    <w:rsid w:val="54437EE2"/>
    <w:rsid w:val="544B5BBF"/>
    <w:rsid w:val="545A363B"/>
    <w:rsid w:val="54A803E6"/>
    <w:rsid w:val="54FE273E"/>
    <w:rsid w:val="553D26B8"/>
    <w:rsid w:val="556228D1"/>
    <w:rsid w:val="557E4F1D"/>
    <w:rsid w:val="55BE2D96"/>
    <w:rsid w:val="55E81F79"/>
    <w:rsid w:val="56114B87"/>
    <w:rsid w:val="561C3B6A"/>
    <w:rsid w:val="563A659A"/>
    <w:rsid w:val="566C6854"/>
    <w:rsid w:val="568802B4"/>
    <w:rsid w:val="56DB10BC"/>
    <w:rsid w:val="56EA7170"/>
    <w:rsid w:val="57A12A3E"/>
    <w:rsid w:val="582D008F"/>
    <w:rsid w:val="58FD62E3"/>
    <w:rsid w:val="59A82BF6"/>
    <w:rsid w:val="59D43681"/>
    <w:rsid w:val="59E64D73"/>
    <w:rsid w:val="5A674D53"/>
    <w:rsid w:val="5A6C16F2"/>
    <w:rsid w:val="5AC67E4F"/>
    <w:rsid w:val="5B32361B"/>
    <w:rsid w:val="5B3C0B90"/>
    <w:rsid w:val="5B3C2184"/>
    <w:rsid w:val="5B9840A9"/>
    <w:rsid w:val="5BA92E0C"/>
    <w:rsid w:val="5BEB3BF4"/>
    <w:rsid w:val="5C324A58"/>
    <w:rsid w:val="5D3432CC"/>
    <w:rsid w:val="5DD51829"/>
    <w:rsid w:val="5E485FB2"/>
    <w:rsid w:val="5E8424D3"/>
    <w:rsid w:val="5F8868E2"/>
    <w:rsid w:val="5FC976C4"/>
    <w:rsid w:val="5FCC1C43"/>
    <w:rsid w:val="60054B34"/>
    <w:rsid w:val="60714E01"/>
    <w:rsid w:val="61713F99"/>
    <w:rsid w:val="61B56F70"/>
    <w:rsid w:val="6249508D"/>
    <w:rsid w:val="62627FD4"/>
    <w:rsid w:val="628F77C1"/>
    <w:rsid w:val="633032F2"/>
    <w:rsid w:val="6443073F"/>
    <w:rsid w:val="6452658D"/>
    <w:rsid w:val="64602F7F"/>
    <w:rsid w:val="64C35AAB"/>
    <w:rsid w:val="65355384"/>
    <w:rsid w:val="658B0379"/>
    <w:rsid w:val="66373BC6"/>
    <w:rsid w:val="66E619CF"/>
    <w:rsid w:val="67031C04"/>
    <w:rsid w:val="671E42C4"/>
    <w:rsid w:val="67226AD6"/>
    <w:rsid w:val="672C501D"/>
    <w:rsid w:val="67E77EC2"/>
    <w:rsid w:val="67F04C5B"/>
    <w:rsid w:val="680B701A"/>
    <w:rsid w:val="6841358C"/>
    <w:rsid w:val="6894670B"/>
    <w:rsid w:val="68A67EEC"/>
    <w:rsid w:val="690362BA"/>
    <w:rsid w:val="690C32D2"/>
    <w:rsid w:val="69866BBE"/>
    <w:rsid w:val="6A0A64A1"/>
    <w:rsid w:val="6A543739"/>
    <w:rsid w:val="6AAF15CE"/>
    <w:rsid w:val="6B1E52AF"/>
    <w:rsid w:val="6B596733"/>
    <w:rsid w:val="6B7C7271"/>
    <w:rsid w:val="6BD0583D"/>
    <w:rsid w:val="6C294789"/>
    <w:rsid w:val="6C8205D4"/>
    <w:rsid w:val="6CBA1DE2"/>
    <w:rsid w:val="6CEB4E8F"/>
    <w:rsid w:val="6D3C39A8"/>
    <w:rsid w:val="6DB30807"/>
    <w:rsid w:val="6DF639E2"/>
    <w:rsid w:val="6E004332"/>
    <w:rsid w:val="6E1C45AF"/>
    <w:rsid w:val="6EB700BB"/>
    <w:rsid w:val="6F183CAE"/>
    <w:rsid w:val="6F900003"/>
    <w:rsid w:val="6FE06AD0"/>
    <w:rsid w:val="70483FA4"/>
    <w:rsid w:val="70554F0E"/>
    <w:rsid w:val="705F057C"/>
    <w:rsid w:val="70D92C22"/>
    <w:rsid w:val="71A32206"/>
    <w:rsid w:val="72874C7B"/>
    <w:rsid w:val="72A45108"/>
    <w:rsid w:val="73560D15"/>
    <w:rsid w:val="73B94329"/>
    <w:rsid w:val="73F67F19"/>
    <w:rsid w:val="758011E6"/>
    <w:rsid w:val="75AD564C"/>
    <w:rsid w:val="75EF3652"/>
    <w:rsid w:val="76A258BD"/>
    <w:rsid w:val="773E50C9"/>
    <w:rsid w:val="77883FB5"/>
    <w:rsid w:val="783A082F"/>
    <w:rsid w:val="78F42BEF"/>
    <w:rsid w:val="796512E6"/>
    <w:rsid w:val="798F1152"/>
    <w:rsid w:val="79B636A8"/>
    <w:rsid w:val="7A046B52"/>
    <w:rsid w:val="7A4676E8"/>
    <w:rsid w:val="7A651B9E"/>
    <w:rsid w:val="7A935A75"/>
    <w:rsid w:val="7A983786"/>
    <w:rsid w:val="7B214AF9"/>
    <w:rsid w:val="7B594D48"/>
    <w:rsid w:val="7BFC06C2"/>
    <w:rsid w:val="7C210AAC"/>
    <w:rsid w:val="7C244607"/>
    <w:rsid w:val="7D0F5A93"/>
    <w:rsid w:val="7D824D39"/>
    <w:rsid w:val="7DBA06C0"/>
    <w:rsid w:val="7E2800F2"/>
    <w:rsid w:val="7E45428D"/>
    <w:rsid w:val="7E493171"/>
    <w:rsid w:val="7E527FBB"/>
    <w:rsid w:val="7E6D4A6E"/>
    <w:rsid w:val="7E8C0909"/>
    <w:rsid w:val="7F481229"/>
    <w:rsid w:val="7F6B4F42"/>
    <w:rsid w:val="7FD81A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6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rFonts w:eastAsia="黑体"/>
      <w:sz w:val="28"/>
      <w:szCs w:val="20"/>
    </w:rPr>
  </w:style>
  <w:style w:type="paragraph" w:styleId="7">
    <w:name w:val="Body Text Indent"/>
    <w:basedOn w:val="1"/>
    <w:qFormat/>
    <w:uiPriority w:val="0"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8">
    <w:name w:val="Date"/>
    <w:basedOn w:val="1"/>
    <w:next w:val="1"/>
    <w:link w:val="21"/>
    <w:qFormat/>
    <w:uiPriority w:val="0"/>
    <w:rPr>
      <w:rFonts w:ascii="仿宋_GB2312" w:eastAsia="仿宋_GB2312"/>
      <w:sz w:val="24"/>
      <w:szCs w:val="20"/>
    </w:rPr>
  </w:style>
  <w:style w:type="paragraph" w:styleId="9">
    <w:name w:val="Balloon Text"/>
    <w:basedOn w:val="1"/>
    <w:link w:val="22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Title"/>
    <w:basedOn w:val="1"/>
    <w:next w:val="1"/>
    <w:link w:val="25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FollowedHyperlink"/>
    <w:basedOn w:val="16"/>
    <w:semiHidden/>
    <w:unhideWhenUsed/>
    <w:qFormat/>
    <w:uiPriority w:val="99"/>
    <w:rPr>
      <w:color w:val="800080"/>
      <w:u w:val="single"/>
    </w:rPr>
  </w:style>
  <w:style w:type="character" w:styleId="20">
    <w:name w:val="Hyperlink"/>
    <w:unhideWhenUsed/>
    <w:qFormat/>
    <w:uiPriority w:val="99"/>
    <w:rPr>
      <w:color w:val="0000FF"/>
      <w:u w:val="single"/>
    </w:rPr>
  </w:style>
  <w:style w:type="character" w:customStyle="1" w:styleId="21">
    <w:name w:val="日期 字符"/>
    <w:link w:val="8"/>
    <w:qFormat/>
    <w:uiPriority w:val="0"/>
    <w:rPr>
      <w:rFonts w:ascii="仿宋_GB2312" w:eastAsia="仿宋_GB2312"/>
      <w:kern w:val="2"/>
      <w:sz w:val="24"/>
    </w:rPr>
  </w:style>
  <w:style w:type="character" w:customStyle="1" w:styleId="22">
    <w:name w:val="批注框文本 字符"/>
    <w:link w:val="9"/>
    <w:qFormat/>
    <w:uiPriority w:val="0"/>
    <w:rPr>
      <w:kern w:val="2"/>
      <w:sz w:val="18"/>
      <w:szCs w:val="18"/>
    </w:rPr>
  </w:style>
  <w:style w:type="paragraph" w:customStyle="1" w:styleId="23">
    <w:name w:val="Char Char1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cs="Arial"/>
      <w:kern w:val="0"/>
      <w:sz w:val="20"/>
      <w:szCs w:val="20"/>
      <w:lang w:eastAsia="en-US"/>
    </w:rPr>
  </w:style>
  <w:style w:type="character" w:customStyle="1" w:styleId="24">
    <w:name w:val="标题 1 字符"/>
    <w:link w:val="4"/>
    <w:qFormat/>
    <w:uiPriority w:val="9"/>
    <w:rPr>
      <w:b/>
      <w:bCs/>
      <w:kern w:val="44"/>
      <w:sz w:val="44"/>
      <w:szCs w:val="44"/>
    </w:rPr>
  </w:style>
  <w:style w:type="character" w:customStyle="1" w:styleId="25">
    <w:name w:val="标题 字符"/>
    <w:link w:val="13"/>
    <w:qFormat/>
    <w:uiPriority w:val="1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3567</Words>
  <Characters>4356</Characters>
  <Lines>39</Lines>
  <Paragraphs>11</Paragraphs>
  <TotalTime>31</TotalTime>
  <ScaleCrop>false</ScaleCrop>
  <LinksUpToDate>false</LinksUpToDate>
  <CharactersWithSpaces>5794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2021-08-03T02:23:00Z</dcterms:created>
  <dc:creator>微软用户</dc:creator>
  <cp:lastModifiedBy>allen.liang</cp:lastModifiedBy>
  <cp:lastPrinted>2021-08-09T06:16:00Z</cp:lastPrinted>
  <dcterms:modified xsi:type="dcterms:W3CDTF">2023-11-21T01:35:28Z</dcterms:modified>
  <dc:title>邀 请 函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F53EB3F95EED4C5396EFC31910841230</vt:lpwstr>
  </property>
</Properties>
</file>